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52B276DD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eastAsia="zh-CN"/>
        </w:rPr>
      </w:pPr>
      <w:r w:rsidRPr="00B05962">
        <w:rPr>
          <w:bCs/>
          <w:noProof w:val="0"/>
          <w:sz w:val="24"/>
          <w:szCs w:val="24"/>
        </w:rPr>
        <w:t>3GPP TSG-RAN WG2 Meeting #</w:t>
      </w:r>
      <w:r w:rsidR="006842D7">
        <w:rPr>
          <w:rFonts w:hint="eastAsia"/>
          <w:bCs/>
          <w:noProof w:val="0"/>
          <w:sz w:val="24"/>
          <w:szCs w:val="24"/>
          <w:lang w:eastAsia="zh-CN"/>
        </w:rPr>
        <w:t>AH</w:t>
      </w:r>
      <w:r w:rsidR="004E611C">
        <w:rPr>
          <w:rFonts w:hint="eastAsia"/>
          <w:bCs/>
          <w:noProof w:val="0"/>
          <w:sz w:val="24"/>
          <w:szCs w:val="24"/>
          <w:lang w:eastAsia="zh-CN"/>
        </w:rPr>
        <w:t>-1807</w:t>
      </w:r>
      <w:r w:rsidR="00CD4C7B" w:rsidRPr="00B266B0">
        <w:rPr>
          <w:bCs/>
          <w:noProof w:val="0"/>
          <w:sz w:val="24"/>
          <w:szCs w:val="24"/>
        </w:rPr>
        <w:tab/>
      </w:r>
      <w:r w:rsidR="00453A40">
        <w:rPr>
          <w:bCs/>
          <w:noProof w:val="0"/>
          <w:sz w:val="24"/>
          <w:szCs w:val="24"/>
        </w:rPr>
        <w:t>R2-1810232</w:t>
      </w:r>
    </w:p>
    <w:p w14:paraId="231362B2" w14:textId="0BF3DD2F" w:rsidR="00CD4C7B" w:rsidRPr="00B266B0" w:rsidRDefault="006842D7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297615">
        <w:rPr>
          <w:bCs/>
          <w:noProof w:val="0"/>
          <w:sz w:val="24"/>
          <w:szCs w:val="24"/>
        </w:rPr>
        <w:t xml:space="preserve">Montreal, </w:t>
      </w:r>
      <w:r w:rsidR="004E611C" w:rsidRPr="00297615">
        <w:rPr>
          <w:bCs/>
          <w:noProof w:val="0"/>
          <w:sz w:val="24"/>
          <w:szCs w:val="24"/>
        </w:rPr>
        <w:t>Canada</w:t>
      </w:r>
      <w:r w:rsidR="003F4E28" w:rsidRPr="00297615">
        <w:rPr>
          <w:bCs/>
          <w:noProof w:val="0"/>
          <w:sz w:val="24"/>
          <w:szCs w:val="24"/>
        </w:rPr>
        <w:t xml:space="preserve">, </w:t>
      </w:r>
      <w:r w:rsidRPr="00297615">
        <w:rPr>
          <w:bCs/>
          <w:noProof w:val="0"/>
          <w:sz w:val="24"/>
          <w:szCs w:val="24"/>
        </w:rPr>
        <w:t>2nd -6th</w:t>
      </w:r>
      <w:r w:rsidR="003F4E28" w:rsidRPr="00297615">
        <w:rPr>
          <w:bCs/>
          <w:noProof w:val="0"/>
          <w:sz w:val="24"/>
          <w:szCs w:val="24"/>
        </w:rPr>
        <w:t xml:space="preserve"> </w:t>
      </w:r>
      <w:r w:rsidRPr="00297615">
        <w:rPr>
          <w:bCs/>
          <w:noProof w:val="0"/>
          <w:sz w:val="24"/>
          <w:szCs w:val="24"/>
        </w:rPr>
        <w:t xml:space="preserve">July </w:t>
      </w:r>
      <w:r w:rsidR="003F4E28" w:rsidRPr="00297615">
        <w:rPr>
          <w:bCs/>
          <w:noProof w:val="0"/>
          <w:sz w:val="24"/>
          <w:szCs w:val="24"/>
        </w:rPr>
        <w:t>2018</w:t>
      </w:r>
      <w:r w:rsidR="00364B41">
        <w:rPr>
          <w:noProof w:val="0"/>
          <w:sz w:val="24"/>
          <w:szCs w:val="24"/>
          <w:lang w:eastAsia="zh-CN"/>
        </w:rPr>
        <w:tab/>
      </w:r>
    </w:p>
    <w:p w14:paraId="39BE00F6" w14:textId="77777777" w:rsidR="00CD4C7B" w:rsidRPr="006842D7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6842D7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FE77E4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A3290" w:rsidRPr="0002498E">
        <w:rPr>
          <w:rFonts w:cs="Arial"/>
          <w:b/>
          <w:bCs/>
          <w:sz w:val="24"/>
          <w:lang w:eastAsia="ja-JP"/>
        </w:rPr>
        <w:t>11.2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D602CF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0" w:name="_Hlk517262069"/>
      <w:r w:rsidR="00311E9F">
        <w:rPr>
          <w:rFonts w:ascii="Arial" w:hAnsi="Arial" w:cs="Arial"/>
          <w:b/>
          <w:bCs/>
          <w:sz w:val="24"/>
          <w:lang w:eastAsia="zh-CN"/>
        </w:rPr>
        <w:t>RRM framework and RRC connected mode mobility for NR-U</w:t>
      </w:r>
      <w:bookmarkEnd w:id="0"/>
    </w:p>
    <w:p w14:paraId="3AC3A0B1" w14:textId="170817CC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10313">
        <w:rPr>
          <w:rFonts w:ascii="Arial" w:hAnsi="Arial" w:cs="Arial"/>
          <w:b/>
          <w:bCs/>
          <w:sz w:val="24"/>
        </w:rPr>
        <w:t>FS_NR_unlic – Release 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E1E5D49" w14:textId="6918A1E5" w:rsidR="00061637" w:rsidRDefault="00D93D72" w:rsidP="00F542AE">
      <w:pPr>
        <w:spacing w:after="120"/>
        <w:jc w:val="both"/>
        <w:rPr>
          <w:rFonts w:eastAsia="Times New Roman"/>
          <w:lang w:val="en-US" w:eastAsia="fi-FI"/>
        </w:rPr>
      </w:pPr>
      <w:r>
        <w:rPr>
          <w:lang w:val="en-US"/>
        </w:rPr>
        <w:t>The study item on NR-based access to unlicensed spectrum was approved at RAN#75</w:t>
      </w:r>
      <w:r>
        <w:rPr>
          <w:rFonts w:eastAsia="Times New Roman"/>
          <w:lang w:val="en-US" w:eastAsia="fi-FI"/>
        </w:rPr>
        <w:t xml:space="preserve"> and recently revised at RAN#80 [1] </w:t>
      </w:r>
      <w:r w:rsidR="00061637">
        <w:rPr>
          <w:rFonts w:eastAsia="Times New Roman"/>
          <w:lang w:val="en-US" w:eastAsia="fi-FI"/>
        </w:rPr>
        <w:t>with following scope/objective:</w:t>
      </w:r>
    </w:p>
    <w:p w14:paraId="25F5EFF7" w14:textId="6FBFF93F" w:rsidR="005C042E" w:rsidRPr="005C042E" w:rsidRDefault="005C042E" w:rsidP="00F542AE">
      <w:pPr>
        <w:ind w:right="1035"/>
        <w:jc w:val="both"/>
        <w:rPr>
          <w:i/>
          <w:lang w:val="en-US"/>
        </w:rPr>
      </w:pPr>
      <w:r w:rsidRPr="005C042E">
        <w:rPr>
          <w:i/>
          <w:lang w:val="en-US"/>
        </w:rPr>
        <w:t xml:space="preserve">The above study will address the following architectural scenarios (RAN2): </w:t>
      </w:r>
    </w:p>
    <w:p w14:paraId="67039A9D" w14:textId="77777777" w:rsidR="005C042E" w:rsidRPr="005C042E" w:rsidRDefault="005C042E" w:rsidP="00C2575B">
      <w:pPr>
        <w:numPr>
          <w:ilvl w:val="1"/>
          <w:numId w:val="6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i/>
          <w:lang w:val="en-US"/>
        </w:rPr>
      </w:pPr>
      <w:r w:rsidRPr="005C042E">
        <w:rPr>
          <w:i/>
          <w:lang w:val="en-US"/>
        </w:rPr>
        <w:t>An NR-based LAA cell(s) connects with an LTE or NR anchor cell operating in licensed spectrum</w:t>
      </w:r>
    </w:p>
    <w:p w14:paraId="104F689B" w14:textId="77777777" w:rsidR="005C042E" w:rsidRPr="005C042E" w:rsidRDefault="005C042E" w:rsidP="00C2575B">
      <w:pPr>
        <w:numPr>
          <w:ilvl w:val="2"/>
          <w:numId w:val="6"/>
        </w:numPr>
        <w:overflowPunct w:val="0"/>
        <w:autoSpaceDE w:val="0"/>
        <w:autoSpaceDN w:val="0"/>
        <w:adjustRightInd w:val="0"/>
        <w:ind w:left="1321" w:hanging="357"/>
        <w:jc w:val="both"/>
        <w:textAlignment w:val="baseline"/>
        <w:rPr>
          <w:i/>
          <w:lang w:val="en-US"/>
        </w:rPr>
      </w:pPr>
      <w:r w:rsidRPr="005C042E">
        <w:rPr>
          <w:i/>
          <w:lang w:val="en-US"/>
        </w:rPr>
        <w:t>The study assumes the techniques for linking between Pcell (LTE or NR licensed CC) and Scell (NR unlicensed CCs) according to the NR WI</w:t>
      </w:r>
    </w:p>
    <w:p w14:paraId="4ED4D142" w14:textId="77777777" w:rsidR="00C2575B" w:rsidRDefault="005C042E" w:rsidP="00C2575B">
      <w:pPr>
        <w:numPr>
          <w:ilvl w:val="1"/>
          <w:numId w:val="6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i/>
          <w:lang w:val="en-US"/>
        </w:rPr>
      </w:pPr>
      <w:r w:rsidRPr="005C042E">
        <w:rPr>
          <w:i/>
          <w:lang w:val="en-US"/>
        </w:rPr>
        <w:t xml:space="preserve">An NR-based cell operating standalone in unlicensed spectrum, connected to a 5G-CN network, e.g., for private network deployments; </w:t>
      </w:r>
    </w:p>
    <w:p w14:paraId="552FF30A" w14:textId="2A85171F" w:rsidR="005C042E" w:rsidRPr="00C2575B" w:rsidRDefault="005C042E" w:rsidP="00C2575B">
      <w:pPr>
        <w:numPr>
          <w:ilvl w:val="1"/>
          <w:numId w:val="6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i/>
          <w:lang w:val="en-US"/>
        </w:rPr>
      </w:pPr>
      <w:r w:rsidRPr="00C2575B">
        <w:rPr>
          <w:i/>
          <w:lang w:val="en-US"/>
        </w:rPr>
        <w:t>Study how to ensure from a RAN level that connection and security management can be integrated with the E-UTRAN, NG RAN and 5G CN architecture, including service continuity requirements for users moving between cells of licensed and unlicensed frequency bands, liaising with SA2 as required</w:t>
      </w:r>
    </w:p>
    <w:p w14:paraId="1877E2FD" w14:textId="227A898F" w:rsidR="00061637" w:rsidRPr="006B620F" w:rsidRDefault="00061637" w:rsidP="00F542AE">
      <w:pPr>
        <w:pStyle w:val="Doc-title"/>
        <w:ind w:left="0" w:firstLine="0"/>
        <w:jc w:val="both"/>
        <w:rPr>
          <w:rFonts w:ascii="Times New Roman" w:hAnsi="Times New Roman" w:cs="Times New Roman"/>
          <w:szCs w:val="20"/>
          <w:lang w:val="en-US"/>
        </w:rPr>
      </w:pPr>
      <w:r w:rsidRPr="00AB3559">
        <w:rPr>
          <w:rFonts w:ascii="Times New Roman" w:hAnsi="Times New Roman" w:cs="Times New Roman"/>
          <w:szCs w:val="20"/>
        </w:rPr>
        <w:t xml:space="preserve">The following email discussion was agreed </w:t>
      </w:r>
      <w:r w:rsidR="00D93D72">
        <w:rPr>
          <w:rFonts w:ascii="Times New Roman" w:hAnsi="Times New Roman" w:cs="Times New Roman"/>
          <w:szCs w:val="20"/>
        </w:rPr>
        <w:t xml:space="preserve">at </w:t>
      </w:r>
      <w:r w:rsidRPr="00AB3559">
        <w:rPr>
          <w:rFonts w:ascii="Times New Roman" w:hAnsi="Times New Roman" w:cs="Times New Roman"/>
          <w:szCs w:val="20"/>
        </w:rPr>
        <w:t xml:space="preserve">RAN2 #102 with the intention to make progress on mobility aspects of NR unlicensed as </w:t>
      </w:r>
      <w:r w:rsidRPr="006B620F">
        <w:rPr>
          <w:rFonts w:ascii="Times New Roman" w:hAnsi="Times New Roman" w:cs="Times New Roman"/>
          <w:szCs w:val="20"/>
          <w:lang w:val="en-US"/>
        </w:rPr>
        <w:t>part of the Study Item:</w:t>
      </w:r>
    </w:p>
    <w:p w14:paraId="4A4BC985" w14:textId="4A4FF816" w:rsidR="00061637" w:rsidRPr="00B60E68" w:rsidRDefault="00061637" w:rsidP="00F542AE">
      <w:pPr>
        <w:pStyle w:val="Doc-title"/>
        <w:jc w:val="both"/>
        <w:rPr>
          <w:rFonts w:ascii="Times New Roman" w:hAnsi="Times New Roman"/>
          <w:i/>
          <w:lang w:val="it-IT"/>
        </w:rPr>
      </w:pPr>
      <w:bookmarkStart w:id="1" w:name="_Hlk516431393"/>
      <w:r w:rsidRPr="00B60E68">
        <w:rPr>
          <w:rFonts w:ascii="Times New Roman" w:hAnsi="Times New Roman"/>
          <w:i/>
          <w:lang w:val="it-IT"/>
        </w:rPr>
        <w:t>[102#69] [NR] NR-U mobility (Qualcomm)</w:t>
      </w:r>
      <w:bookmarkEnd w:id="1"/>
    </w:p>
    <w:p w14:paraId="2BB52C77" w14:textId="77777777" w:rsidR="00061637" w:rsidRPr="006B620F" w:rsidRDefault="00061637" w:rsidP="00C2575B">
      <w:pPr>
        <w:pStyle w:val="Doc-text2"/>
        <w:spacing w:after="180"/>
        <w:ind w:left="0" w:firstLine="0"/>
        <w:jc w:val="both"/>
        <w:rPr>
          <w:rFonts w:ascii="Times New Roman" w:hAnsi="Times New Roman"/>
          <w:i/>
          <w:lang w:val="en-US"/>
        </w:rPr>
      </w:pPr>
      <w:r w:rsidRPr="006B620F">
        <w:rPr>
          <w:rFonts w:ascii="Times New Roman" w:hAnsi="Times New Roman"/>
          <w:i/>
          <w:lang w:val="en-US"/>
        </w:rPr>
        <w:t xml:space="preserve">Identify the issues that could need changes to: </w:t>
      </w:r>
    </w:p>
    <w:p w14:paraId="3E7456B8" w14:textId="41ED6930" w:rsidR="00061637" w:rsidRPr="006B620F" w:rsidRDefault="00061637" w:rsidP="00C2575B">
      <w:pPr>
        <w:pStyle w:val="Doc-text2"/>
        <w:numPr>
          <w:ilvl w:val="0"/>
          <w:numId w:val="24"/>
        </w:numPr>
        <w:ind w:left="714" w:hanging="357"/>
        <w:jc w:val="both"/>
        <w:rPr>
          <w:rFonts w:ascii="Times New Roman" w:hAnsi="Times New Roman"/>
          <w:i/>
          <w:lang w:val="en-US"/>
        </w:rPr>
      </w:pPr>
      <w:r w:rsidRPr="006B620F">
        <w:rPr>
          <w:rFonts w:ascii="Times New Roman" w:hAnsi="Times New Roman"/>
          <w:i/>
          <w:lang w:val="en-US"/>
        </w:rPr>
        <w:t>Measurement framework (e.g. SMTC configuration and its provisioning, additional measurements such as channel load)</w:t>
      </w:r>
    </w:p>
    <w:p w14:paraId="333D4CDA" w14:textId="77777777" w:rsidR="00061637" w:rsidRPr="006B620F" w:rsidRDefault="00061637" w:rsidP="00F542AE">
      <w:pPr>
        <w:pStyle w:val="Doc-text2"/>
        <w:numPr>
          <w:ilvl w:val="0"/>
          <w:numId w:val="24"/>
        </w:numPr>
        <w:jc w:val="both"/>
        <w:rPr>
          <w:rFonts w:ascii="Times New Roman" w:hAnsi="Times New Roman"/>
          <w:i/>
          <w:lang w:val="en-US"/>
        </w:rPr>
      </w:pPr>
      <w:r w:rsidRPr="006B620F">
        <w:rPr>
          <w:rFonts w:ascii="Times New Roman" w:hAnsi="Times New Roman"/>
          <w:i/>
          <w:lang w:val="en-US"/>
        </w:rPr>
        <w:t>RRM (e.g. applicability of events and how to guarantee robustness)</w:t>
      </w:r>
    </w:p>
    <w:p w14:paraId="0C4835B7" w14:textId="77777777" w:rsidR="00061637" w:rsidRPr="006B620F" w:rsidRDefault="00061637" w:rsidP="00F542AE">
      <w:pPr>
        <w:pStyle w:val="Doc-text2"/>
        <w:numPr>
          <w:ilvl w:val="0"/>
          <w:numId w:val="24"/>
        </w:numPr>
        <w:jc w:val="both"/>
        <w:rPr>
          <w:rFonts w:ascii="Times New Roman" w:hAnsi="Times New Roman"/>
          <w:i/>
          <w:lang w:val="en-US"/>
        </w:rPr>
      </w:pPr>
      <w:r w:rsidRPr="006B620F">
        <w:rPr>
          <w:rFonts w:ascii="Times New Roman" w:hAnsi="Times New Roman"/>
          <w:i/>
          <w:lang w:val="en-US"/>
        </w:rPr>
        <w:t>Any changes to the RRC procedures for measurements and handover</w:t>
      </w:r>
    </w:p>
    <w:p w14:paraId="50A3BCB5" w14:textId="5229B4FC" w:rsidR="00061637" w:rsidRPr="006B620F" w:rsidRDefault="00061637" w:rsidP="00C2575B">
      <w:pPr>
        <w:pStyle w:val="Doc-text2"/>
        <w:numPr>
          <w:ilvl w:val="0"/>
          <w:numId w:val="24"/>
        </w:numPr>
        <w:spacing w:after="180"/>
        <w:ind w:left="714" w:hanging="357"/>
        <w:jc w:val="both"/>
        <w:rPr>
          <w:rFonts w:ascii="Times New Roman" w:hAnsi="Times New Roman"/>
          <w:i/>
          <w:lang w:val="en-US"/>
        </w:rPr>
      </w:pPr>
      <w:bookmarkStart w:id="2" w:name="_Hlk517169345"/>
      <w:r w:rsidRPr="006B620F">
        <w:rPr>
          <w:rFonts w:ascii="Times New Roman" w:hAnsi="Times New Roman"/>
          <w:i/>
          <w:lang w:val="en-US"/>
        </w:rPr>
        <w:t>Considerations on Idle/Inactive cell reselection</w:t>
      </w:r>
      <w:bookmarkEnd w:id="2"/>
      <w:r w:rsidRPr="006B620F">
        <w:rPr>
          <w:rFonts w:ascii="Times New Roman" w:hAnsi="Times New Roman"/>
          <w:i/>
          <w:lang w:val="en-US"/>
        </w:rPr>
        <w:t xml:space="preserve"> (e.g. changes to cell quality and ranking)</w:t>
      </w:r>
    </w:p>
    <w:p w14:paraId="48A3EB2F" w14:textId="65C498DE" w:rsidR="00D93D72" w:rsidRDefault="00D93D72" w:rsidP="00F542AE">
      <w:pPr>
        <w:jc w:val="both"/>
      </w:pPr>
      <w:r w:rsidRPr="006B620F">
        <w:rPr>
          <w:lang w:val="en-US" w:eastAsia="x-none"/>
        </w:rPr>
        <w:t>These mobility features mostly apply to standalone operation</w:t>
      </w:r>
      <w:r w:rsidR="003F320D">
        <w:rPr>
          <w:lang w:val="en-US" w:eastAsia="x-none"/>
        </w:rPr>
        <w:t>,</w:t>
      </w:r>
      <w:r w:rsidRPr="006B620F">
        <w:rPr>
          <w:lang w:val="en-US" w:eastAsia="x-none"/>
        </w:rPr>
        <w:t xml:space="preserve"> as in licensed assisted deployment scenarios, the primary cell is always operated in licensed spectrum, and thus</w:t>
      </w:r>
      <w:r w:rsidRPr="00AB3559">
        <w:rPr>
          <w:lang w:eastAsia="x-none"/>
        </w:rPr>
        <w:t xml:space="preserve"> Rel-15 NR design </w:t>
      </w:r>
      <w:r>
        <w:rPr>
          <w:lang w:eastAsia="x-none"/>
        </w:rPr>
        <w:t>and procedures are applicable.</w:t>
      </w:r>
    </w:p>
    <w:p w14:paraId="348B3CD4" w14:textId="6D2FB61F" w:rsidR="00061637" w:rsidRDefault="00061637" w:rsidP="00F542AE">
      <w:pPr>
        <w:jc w:val="both"/>
      </w:pPr>
      <w:r>
        <w:t xml:space="preserve">In this contribution, </w:t>
      </w:r>
      <w:r w:rsidR="005C042E">
        <w:t xml:space="preserve">we discuss </w:t>
      </w:r>
      <w:r w:rsidR="0058266C">
        <w:t xml:space="preserve">the RRM </w:t>
      </w:r>
      <w:r w:rsidR="005C042E">
        <w:t>measurement framework</w:t>
      </w:r>
      <w:r w:rsidR="0058266C">
        <w:t xml:space="preserve"> and the RRC procedures for handover with focus on RRC connected mode mobility. Consideration on </w:t>
      </w:r>
      <w:r w:rsidR="0058266C" w:rsidRPr="00061637">
        <w:t>Idle/Inactive cell reselection</w:t>
      </w:r>
      <w:r w:rsidR="0058266C">
        <w:t xml:space="preserve"> are discussed in </w:t>
      </w:r>
      <w:r w:rsidR="00D83068">
        <w:t xml:space="preserve">a </w:t>
      </w:r>
      <w:r w:rsidR="0058266C">
        <w:t xml:space="preserve">companion contribution </w:t>
      </w:r>
      <w:r w:rsidR="00D93D72">
        <w:t>[2].</w:t>
      </w:r>
    </w:p>
    <w:p w14:paraId="066FC482" w14:textId="75000838" w:rsidR="002760F7" w:rsidRPr="006E13D1" w:rsidRDefault="00CD2127" w:rsidP="002760F7">
      <w:pPr>
        <w:pStyle w:val="Heading1"/>
      </w:pPr>
      <w:r>
        <w:t>2</w:t>
      </w:r>
      <w:r>
        <w:tab/>
      </w:r>
      <w:r w:rsidR="002760F7">
        <w:t>RRM measurements</w:t>
      </w:r>
    </w:p>
    <w:p w14:paraId="08D250B9" w14:textId="2FBBD1FB" w:rsidR="002760F7" w:rsidRPr="00635010" w:rsidRDefault="002760F7" w:rsidP="002760F7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Rel-13, two new UE measurements were introduced mainly to assist </w:t>
      </w:r>
      <w:r w:rsidR="004A05AB">
        <w:rPr>
          <w:lang w:val="en-US" w:eastAsia="zh-CN"/>
        </w:rPr>
        <w:t xml:space="preserve">unlicensed </w:t>
      </w:r>
      <w:r>
        <w:rPr>
          <w:lang w:val="en-US" w:eastAsia="zh-CN"/>
        </w:rPr>
        <w:t xml:space="preserve">carrier selection at the eNodeB, especially in presence of hidden nodes: the UE-reported RSSI </w:t>
      </w:r>
      <w:r w:rsidR="002813B7">
        <w:rPr>
          <w:lang w:val="en-US" w:eastAsia="zh-CN"/>
        </w:rPr>
        <w:t>[</w:t>
      </w:r>
      <w:r w:rsidR="00720902">
        <w:rPr>
          <w:lang w:val="en-US" w:eastAsia="zh-CN"/>
        </w:rPr>
        <w:t>3</w:t>
      </w:r>
      <w:r w:rsidR="002813B7">
        <w:rPr>
          <w:lang w:val="en-US" w:eastAsia="zh-CN"/>
        </w:rPr>
        <w:t xml:space="preserve">] </w:t>
      </w:r>
      <w:r>
        <w:rPr>
          <w:lang w:val="en-US" w:eastAsia="zh-CN"/>
        </w:rPr>
        <w:t xml:space="preserve">and the Channel Occupancy (CO). The CO is defined as </w:t>
      </w:r>
      <w:r>
        <w:rPr>
          <w:lang w:val="en-US"/>
        </w:rPr>
        <w:t>the percentage of time within a configured time window where the RSSI exceeds a certain threshold value</w:t>
      </w:r>
      <w:r w:rsidR="002813B7">
        <w:rPr>
          <w:lang w:val="en-US"/>
        </w:rPr>
        <w:t xml:space="preserve"> [</w:t>
      </w:r>
      <w:r w:rsidR="00720902">
        <w:rPr>
          <w:lang w:val="en-US"/>
        </w:rPr>
        <w:t>4</w:t>
      </w:r>
      <w:r w:rsidR="002813B7">
        <w:rPr>
          <w:lang w:val="en-US"/>
        </w:rPr>
        <w:t>]</w:t>
      </w:r>
      <w:r>
        <w:rPr>
          <w:lang w:val="en-US"/>
        </w:rPr>
        <w:t>.</w:t>
      </w:r>
      <w:r w:rsidR="002813B7">
        <w:rPr>
          <w:lang w:val="en-US"/>
        </w:rPr>
        <w:t xml:space="preserve"> </w:t>
      </w:r>
      <w:r>
        <w:rPr>
          <w:lang w:val="en-US" w:eastAsia="zh-CN"/>
        </w:rPr>
        <w:t xml:space="preserve">For the same reason, UE-reported RSSI and CO may also be considered for NR-U. </w:t>
      </w:r>
    </w:p>
    <w:p w14:paraId="076F841B" w14:textId="6605C301" w:rsidR="002760F7" w:rsidRPr="009D1802" w:rsidRDefault="00CD2127" w:rsidP="002760F7">
      <w:pPr>
        <w:rPr>
          <w:b/>
          <w:lang w:val="en-US"/>
        </w:rPr>
      </w:pPr>
      <w:r>
        <w:rPr>
          <w:b/>
        </w:rPr>
        <w:t>Proposal 1</w:t>
      </w:r>
      <w:r w:rsidR="002760F7" w:rsidRPr="009D1802">
        <w:rPr>
          <w:b/>
        </w:rPr>
        <w:t>:</w:t>
      </w:r>
      <w:r w:rsidR="002760F7" w:rsidRPr="009D1802">
        <w:rPr>
          <w:b/>
          <w:lang w:val="en-US"/>
        </w:rPr>
        <w:t xml:space="preserve"> </w:t>
      </w:r>
      <w:r w:rsidR="002760F7">
        <w:rPr>
          <w:b/>
          <w:lang w:val="en-US" w:eastAsia="zh-CN"/>
        </w:rPr>
        <w:t>UE-reported RSSI and Channel O</w:t>
      </w:r>
      <w:r w:rsidR="002760F7" w:rsidRPr="009D1802">
        <w:rPr>
          <w:b/>
          <w:lang w:val="en-US" w:eastAsia="zh-CN"/>
        </w:rPr>
        <w:t xml:space="preserve">ccupancy </w:t>
      </w:r>
      <w:r w:rsidR="002760F7">
        <w:rPr>
          <w:b/>
          <w:lang w:val="en-US" w:eastAsia="zh-CN"/>
        </w:rPr>
        <w:t xml:space="preserve">(CO) </w:t>
      </w:r>
      <w:r>
        <w:rPr>
          <w:b/>
          <w:lang w:val="en-US" w:eastAsia="zh-CN"/>
        </w:rPr>
        <w:t>measurement quantities</w:t>
      </w:r>
      <w:r w:rsidR="002760F7" w:rsidRPr="009D1802">
        <w:rPr>
          <w:b/>
          <w:lang w:val="en-US" w:eastAsia="zh-CN"/>
        </w:rPr>
        <w:t xml:space="preserve"> introduced for operation in unlicense</w:t>
      </w:r>
      <w:r w:rsidR="002760F7">
        <w:rPr>
          <w:b/>
          <w:lang w:val="en-US" w:eastAsia="zh-CN"/>
        </w:rPr>
        <w:t>d spectrum in Rel-</w:t>
      </w:r>
      <w:r w:rsidR="002760F7" w:rsidRPr="009D1802">
        <w:rPr>
          <w:b/>
          <w:lang w:val="en-US" w:eastAsia="zh-CN"/>
        </w:rPr>
        <w:t xml:space="preserve">13 LAA should also be </w:t>
      </w:r>
      <w:r>
        <w:rPr>
          <w:b/>
          <w:lang w:val="en-US" w:eastAsia="zh-CN"/>
        </w:rPr>
        <w:t xml:space="preserve">specified for </w:t>
      </w:r>
      <w:r w:rsidR="002760F7" w:rsidRPr="009D1802">
        <w:rPr>
          <w:b/>
          <w:lang w:val="en-US" w:eastAsia="zh-CN"/>
        </w:rPr>
        <w:t xml:space="preserve">NR-based access </w:t>
      </w:r>
      <w:r w:rsidR="002760F7" w:rsidRPr="009D1802">
        <w:rPr>
          <w:b/>
        </w:rPr>
        <w:t>to unlicensed spectrum.</w:t>
      </w:r>
    </w:p>
    <w:p w14:paraId="5C2BAA71" w14:textId="6AEA5D46" w:rsidR="002760F7" w:rsidRPr="006E13D1" w:rsidRDefault="00CD2127" w:rsidP="002760F7">
      <w:pPr>
        <w:pStyle w:val="Heading1"/>
      </w:pPr>
      <w:r>
        <w:lastRenderedPageBreak/>
        <w:t>3</w:t>
      </w:r>
      <w:r w:rsidR="002760F7" w:rsidRPr="006E13D1">
        <w:tab/>
      </w:r>
      <w:r w:rsidR="002760F7">
        <w:t xml:space="preserve">RRM framework </w:t>
      </w:r>
    </w:p>
    <w:p w14:paraId="12369874" w14:textId="47FC2839" w:rsidR="002760F7" w:rsidRDefault="00CD2127" w:rsidP="002760F7">
      <w:pPr>
        <w:jc w:val="both"/>
        <w:rPr>
          <w:lang w:val="en-US"/>
        </w:rPr>
      </w:pPr>
      <w:r>
        <w:rPr>
          <w:lang w:val="en-US"/>
        </w:rPr>
        <w:t>T</w:t>
      </w:r>
      <w:r w:rsidR="002760F7">
        <w:rPr>
          <w:lang w:val="en-US"/>
        </w:rPr>
        <w:t xml:space="preserve">he NR-U RRM framework should be general enough to allow for detection, measurement and reporting of NR-U cells that can be either synchronized or unsynchronized with the UE’s primary cell. This should be possible independently on whether the primary cell is operated in unlicensed or licensed spectrum. </w:t>
      </w:r>
    </w:p>
    <w:p w14:paraId="53836717" w14:textId="42BF0319" w:rsidR="002760F7" w:rsidRDefault="002760F7" w:rsidP="002760F7">
      <w:pPr>
        <w:jc w:val="both"/>
        <w:rPr>
          <w:lang w:val="en-US"/>
        </w:rPr>
      </w:pPr>
      <w:r w:rsidRPr="0F0FD6CE">
        <w:rPr>
          <w:lang w:val="en-US"/>
        </w:rPr>
        <w:t xml:space="preserve">NR introduces the concept of </w:t>
      </w:r>
      <w:r w:rsidR="00CD2127">
        <w:rPr>
          <w:rFonts w:eastAsia="MS Mincho"/>
          <w:lang w:eastAsia="ja-JP"/>
        </w:rPr>
        <w:t>Synchronization Signal B</w:t>
      </w:r>
      <w:r w:rsidRPr="0F0FD6CE">
        <w:rPr>
          <w:rFonts w:eastAsia="MS Mincho"/>
          <w:lang w:eastAsia="ja-JP"/>
        </w:rPr>
        <w:t>lock</w:t>
      </w:r>
      <w:r>
        <w:rPr>
          <w:rFonts w:eastAsia="MS Mincho"/>
          <w:lang w:eastAsia="ja-JP"/>
        </w:rPr>
        <w:t xml:space="preserve"> (SSB)</w:t>
      </w:r>
      <w:r w:rsidRPr="0F0FD6CE">
        <w:rPr>
          <w:rFonts w:eastAsia="MS Mincho"/>
          <w:lang w:eastAsia="ja-JP"/>
        </w:rPr>
        <w:t xml:space="preserve"> based RRM measurement timing configuration (SMTC) </w:t>
      </w:r>
      <w:r w:rsidRPr="0F0FD6CE">
        <w:rPr>
          <w:lang w:val="en-US"/>
        </w:rPr>
        <w:t xml:space="preserve">for SSB-based measurements. The SMTC is a timing configuration where the UE is configured to perform SSB-based RRM measurements. The NR SMTC </w:t>
      </w:r>
      <w:r>
        <w:rPr>
          <w:lang w:val="en-US"/>
        </w:rPr>
        <w:t xml:space="preserve">framework </w:t>
      </w:r>
      <w:r w:rsidRPr="0F0FD6CE">
        <w:rPr>
          <w:lang w:val="en-US"/>
        </w:rPr>
        <w:t xml:space="preserve">presents several similarities with the LAA </w:t>
      </w:r>
      <w:r>
        <w:rPr>
          <w:lang w:val="en-US"/>
        </w:rPr>
        <w:t xml:space="preserve">Discovery Reference Signal (DRS) </w:t>
      </w:r>
      <w:r w:rsidRPr="0F0FD6CE">
        <w:rPr>
          <w:rFonts w:eastAsia="MS Mincho"/>
          <w:lang w:eastAsia="ja-JP"/>
        </w:rPr>
        <w:t xml:space="preserve">measurement timing configuration </w:t>
      </w:r>
      <w:r>
        <w:rPr>
          <w:rFonts w:eastAsia="MS Mincho"/>
          <w:lang w:eastAsia="ja-JP"/>
        </w:rPr>
        <w:t>(</w:t>
      </w:r>
      <w:r w:rsidRPr="0F0FD6CE">
        <w:rPr>
          <w:lang w:val="en-US"/>
        </w:rPr>
        <w:t>DMTC</w:t>
      </w:r>
      <w:r>
        <w:rPr>
          <w:lang w:val="en-US"/>
        </w:rPr>
        <w:t>) concept</w:t>
      </w:r>
      <w:r w:rsidRPr="0F0FD6CE">
        <w:rPr>
          <w:lang w:val="en-US"/>
        </w:rPr>
        <w:t>, which was introduced in Rel</w:t>
      </w:r>
      <w:r>
        <w:rPr>
          <w:lang w:val="en-US"/>
        </w:rPr>
        <w:t>-</w:t>
      </w:r>
      <w:r w:rsidRPr="0F0FD6CE">
        <w:rPr>
          <w:lang w:val="en-US"/>
        </w:rPr>
        <w:t>13 LAA to handle the time unpredictability in the transmission of DRS for the purpose (among others) of performing RRM measurements.</w:t>
      </w:r>
    </w:p>
    <w:p w14:paraId="00482F8B" w14:textId="78C02C5C" w:rsidR="00CE77F3" w:rsidRPr="00E40D4A" w:rsidRDefault="002760F7" w:rsidP="00E40D4A">
      <w:pPr>
        <w:jc w:val="both"/>
        <w:rPr>
          <w:lang w:val="en-US"/>
        </w:rPr>
      </w:pPr>
      <w:bookmarkStart w:id="3" w:name="_Hlk513576820"/>
      <w:r>
        <w:rPr>
          <w:lang w:val="en-US"/>
        </w:rPr>
        <w:t xml:space="preserve">We envision that a similar DRS framework as standardized for LAA will also be introduced for NR-U. The NR-U DRS </w:t>
      </w:r>
      <w:r w:rsidR="00E40D4A">
        <w:rPr>
          <w:lang w:val="en-US"/>
        </w:rPr>
        <w:t xml:space="preserve">could </w:t>
      </w:r>
      <w:r>
        <w:rPr>
          <w:lang w:val="en-US"/>
        </w:rPr>
        <w:t xml:space="preserve">be transmitted with a certain periodicity, while the actual transmission of the NR-U DRS </w:t>
      </w:r>
      <w:r w:rsidR="00E40D4A">
        <w:rPr>
          <w:lang w:val="en-US"/>
        </w:rPr>
        <w:t xml:space="preserve">may </w:t>
      </w:r>
      <w:r>
        <w:rPr>
          <w:lang w:val="en-US"/>
        </w:rPr>
        <w:t xml:space="preserve">be allowed within a window of opportunity </w:t>
      </w:r>
      <w:r w:rsidR="00B60E68">
        <w:rPr>
          <w:lang w:val="en-US"/>
        </w:rPr>
        <w:t xml:space="preserve">- </w:t>
      </w:r>
      <w:r>
        <w:rPr>
          <w:lang w:val="en-US"/>
        </w:rPr>
        <w:t xml:space="preserve">to overcome the negative effects of impending channel unavailability due to Listen-Before Talk (LBT).  </w:t>
      </w:r>
      <w:r w:rsidR="00CD2127">
        <w:rPr>
          <w:lang w:val="en-US"/>
        </w:rPr>
        <w:t xml:space="preserve">This is also </w:t>
      </w:r>
      <w:r w:rsidR="00CE77F3">
        <w:rPr>
          <w:lang w:val="en-US"/>
        </w:rPr>
        <w:t xml:space="preserve">confirmed by the </w:t>
      </w:r>
      <w:r w:rsidR="00E40D4A">
        <w:rPr>
          <w:lang w:val="en-US"/>
        </w:rPr>
        <w:t>following preliminary agreements made by RAN1:</w:t>
      </w:r>
    </w:p>
    <w:p w14:paraId="6C54877D" w14:textId="77777777" w:rsidR="00CE77F3" w:rsidRPr="00F721AE" w:rsidRDefault="00CE77F3" w:rsidP="00CE77F3">
      <w:pPr>
        <w:numPr>
          <w:ilvl w:val="0"/>
          <w:numId w:val="21"/>
        </w:numPr>
        <w:spacing w:after="0"/>
        <w:rPr>
          <w:i/>
          <w:lang w:eastAsia="x-none"/>
        </w:rPr>
      </w:pPr>
      <w:r w:rsidRPr="00F721AE">
        <w:rPr>
          <w:i/>
          <w:lang w:eastAsia="x-none"/>
        </w:rPr>
        <w:t>NR-U should have a signal that contains at least SS/PBCH block burst set transmission</w:t>
      </w:r>
    </w:p>
    <w:p w14:paraId="01DEB5C2" w14:textId="77777777" w:rsidR="00CE77F3" w:rsidRPr="00F721AE" w:rsidRDefault="00CE77F3" w:rsidP="00CE77F3">
      <w:pPr>
        <w:numPr>
          <w:ilvl w:val="1"/>
          <w:numId w:val="21"/>
        </w:numPr>
        <w:spacing w:after="0"/>
        <w:rPr>
          <w:i/>
          <w:lang w:eastAsia="x-none"/>
        </w:rPr>
      </w:pPr>
      <w:r w:rsidRPr="00F721AE">
        <w:rPr>
          <w:i/>
          <w:lang w:eastAsia="x-none"/>
        </w:rPr>
        <w:t>FFS: Other channels and signals transmitted together as part of the signal</w:t>
      </w:r>
    </w:p>
    <w:p w14:paraId="57EF9231" w14:textId="77777777" w:rsidR="00CE77F3" w:rsidRPr="00F721AE" w:rsidRDefault="00CE77F3" w:rsidP="00CE77F3">
      <w:pPr>
        <w:numPr>
          <w:ilvl w:val="0"/>
          <w:numId w:val="21"/>
        </w:numPr>
        <w:spacing w:after="0"/>
        <w:rPr>
          <w:i/>
          <w:lang w:eastAsia="x-none"/>
        </w:rPr>
      </w:pPr>
      <w:r w:rsidRPr="00F721AE">
        <w:rPr>
          <w:i/>
          <w:lang w:eastAsia="x-none"/>
        </w:rPr>
        <w:t>The design of this signal should consider the following characteristics specific to unlicensed band operation</w:t>
      </w:r>
    </w:p>
    <w:p w14:paraId="1CC83CEB" w14:textId="77777777" w:rsidR="00CE77F3" w:rsidRPr="00F721AE" w:rsidRDefault="00CE77F3" w:rsidP="00CE77F3">
      <w:pPr>
        <w:numPr>
          <w:ilvl w:val="1"/>
          <w:numId w:val="21"/>
        </w:numPr>
        <w:spacing w:after="0"/>
        <w:rPr>
          <w:i/>
          <w:lang w:eastAsia="x-none"/>
        </w:rPr>
      </w:pPr>
      <w:r w:rsidRPr="00F721AE">
        <w:rPr>
          <w:i/>
          <w:lang w:eastAsia="x-none"/>
        </w:rPr>
        <w:t>There are no gaps within the time span the signal is transmitted at least within a beam</w:t>
      </w:r>
    </w:p>
    <w:p w14:paraId="48D5C90E" w14:textId="77777777" w:rsidR="00CE77F3" w:rsidRPr="00F721AE" w:rsidRDefault="00CE77F3" w:rsidP="00CE77F3">
      <w:pPr>
        <w:numPr>
          <w:ilvl w:val="2"/>
          <w:numId w:val="21"/>
        </w:numPr>
        <w:spacing w:after="0"/>
        <w:rPr>
          <w:i/>
          <w:lang w:eastAsia="x-none"/>
        </w:rPr>
      </w:pPr>
      <w:r w:rsidRPr="00F721AE">
        <w:rPr>
          <w:i/>
          <w:lang w:eastAsia="x-none"/>
        </w:rPr>
        <w:t>FFS: Whether any gaps are needed for beam switching and, if needed, their duration</w:t>
      </w:r>
    </w:p>
    <w:p w14:paraId="4C8EF514" w14:textId="77777777" w:rsidR="00CE77F3" w:rsidRPr="00F721AE" w:rsidRDefault="00CE77F3" w:rsidP="00CE77F3">
      <w:pPr>
        <w:numPr>
          <w:ilvl w:val="1"/>
          <w:numId w:val="21"/>
        </w:numPr>
        <w:spacing w:after="0"/>
        <w:rPr>
          <w:i/>
          <w:lang w:eastAsia="x-none"/>
        </w:rPr>
      </w:pPr>
      <w:r w:rsidRPr="00F721AE">
        <w:rPr>
          <w:i/>
          <w:lang w:eastAsia="x-none"/>
        </w:rPr>
        <w:t>The occupied channel bandwidth is satisfied (although this may not be a requirement)</w:t>
      </w:r>
    </w:p>
    <w:p w14:paraId="235CD5B0" w14:textId="77777777" w:rsidR="00CE77F3" w:rsidRPr="00F721AE" w:rsidRDefault="00CE77F3" w:rsidP="00CE77F3">
      <w:pPr>
        <w:numPr>
          <w:ilvl w:val="1"/>
          <w:numId w:val="21"/>
        </w:numPr>
        <w:spacing w:after="0"/>
        <w:rPr>
          <w:i/>
          <w:lang w:eastAsia="x-none"/>
        </w:rPr>
      </w:pPr>
      <w:r w:rsidRPr="00F721AE">
        <w:rPr>
          <w:i/>
          <w:lang w:eastAsia="x-none"/>
        </w:rPr>
        <w:t>Strive to minimize the channel occupancy time of the signal</w:t>
      </w:r>
    </w:p>
    <w:p w14:paraId="3B7E771C" w14:textId="77777777" w:rsidR="00CE77F3" w:rsidRPr="00F721AE" w:rsidRDefault="00CE77F3" w:rsidP="00CE77F3">
      <w:pPr>
        <w:numPr>
          <w:ilvl w:val="1"/>
          <w:numId w:val="21"/>
        </w:numPr>
        <w:spacing w:after="0"/>
        <w:rPr>
          <w:i/>
        </w:rPr>
      </w:pPr>
      <w:r w:rsidRPr="00F721AE">
        <w:rPr>
          <w:i/>
          <w:lang w:eastAsia="x-none"/>
        </w:rPr>
        <w:t>Characteristics that may facilitate fast channel access</w:t>
      </w:r>
    </w:p>
    <w:p w14:paraId="7DAC5385" w14:textId="77777777" w:rsidR="00CE77F3" w:rsidRPr="00F721AE" w:rsidRDefault="00CE77F3" w:rsidP="00CE77F3">
      <w:pPr>
        <w:numPr>
          <w:ilvl w:val="0"/>
          <w:numId w:val="21"/>
        </w:numPr>
        <w:spacing w:after="0"/>
        <w:rPr>
          <w:i/>
          <w:lang w:eastAsia="x-none"/>
        </w:rPr>
      </w:pPr>
      <w:r w:rsidRPr="00F721AE">
        <w:rPr>
          <w:i/>
          <w:lang w:eastAsia="x-none"/>
        </w:rPr>
        <w:t>Modifications to initial access procedures considering limitations on access to the channel based on LBT</w:t>
      </w:r>
    </w:p>
    <w:p w14:paraId="570D1A2A" w14:textId="77777777" w:rsidR="00CE77F3" w:rsidRPr="00F721AE" w:rsidRDefault="00CE77F3" w:rsidP="00E40D4A">
      <w:pPr>
        <w:numPr>
          <w:ilvl w:val="1"/>
          <w:numId w:val="21"/>
        </w:numPr>
        <w:ind w:left="1434" w:hanging="357"/>
        <w:rPr>
          <w:i/>
          <w:lang w:eastAsia="x-none"/>
        </w:rPr>
      </w:pPr>
      <w:r w:rsidRPr="00F721AE">
        <w:rPr>
          <w:i/>
          <w:lang w:eastAsia="x-none"/>
        </w:rPr>
        <w:t>Develop techniques to handle reduced SS/PBCH block and RMSI transmission opportunities due to LBT failure</w:t>
      </w:r>
    </w:p>
    <w:p w14:paraId="4CA0C6C1" w14:textId="03D2449B" w:rsidR="002760F7" w:rsidRPr="005F0E8F" w:rsidRDefault="002760F7" w:rsidP="002760F7">
      <w:pPr>
        <w:jc w:val="both"/>
        <w:rPr>
          <w:b/>
          <w:lang w:val="en-US"/>
        </w:rPr>
      </w:pPr>
      <w:r w:rsidRPr="005F0E8F">
        <w:rPr>
          <w:b/>
          <w:lang w:val="en-US"/>
        </w:rPr>
        <w:t xml:space="preserve">Observation 1: A similar DRS design as standardized for LAA is likely to be introduced in NR-U. The transmission of the NR-U DRS </w:t>
      </w:r>
      <w:r w:rsidR="005E5DFC">
        <w:rPr>
          <w:b/>
          <w:lang w:val="en-US"/>
        </w:rPr>
        <w:t xml:space="preserve">is likely to </w:t>
      </w:r>
      <w:r w:rsidR="00E40D4A">
        <w:rPr>
          <w:b/>
          <w:lang w:val="en-US"/>
        </w:rPr>
        <w:t>be</w:t>
      </w:r>
      <w:r w:rsidRPr="005F0E8F">
        <w:rPr>
          <w:b/>
          <w:lang w:val="en-US"/>
        </w:rPr>
        <w:t xml:space="preserve"> allowed within a window of opportunity that repeats with a </w:t>
      </w:r>
      <w:r w:rsidR="00E40D4A">
        <w:rPr>
          <w:b/>
          <w:lang w:val="en-US"/>
        </w:rPr>
        <w:t>given</w:t>
      </w:r>
      <w:r w:rsidRPr="005F0E8F">
        <w:rPr>
          <w:b/>
          <w:lang w:val="en-US"/>
        </w:rPr>
        <w:t xml:space="preserve"> periodicity.</w:t>
      </w:r>
    </w:p>
    <w:p w14:paraId="60F846EE" w14:textId="467D5900" w:rsidR="008B23AB" w:rsidRPr="005E5DFC" w:rsidRDefault="002760F7" w:rsidP="002760F7">
      <w:pPr>
        <w:jc w:val="both"/>
        <w:rPr>
          <w:lang w:val="en-US"/>
        </w:rPr>
      </w:pPr>
      <w:bookmarkStart w:id="4" w:name="_Hlk513576880"/>
      <w:bookmarkEnd w:id="3"/>
      <w:r>
        <w:rPr>
          <w:lang w:val="en-US"/>
        </w:rPr>
        <w:t>Under this assumption,</w:t>
      </w:r>
      <w:bookmarkEnd w:id="4"/>
      <w:r>
        <w:rPr>
          <w:lang w:val="en-US"/>
        </w:rPr>
        <w:t xml:space="preserve"> w</w:t>
      </w:r>
      <w:r w:rsidRPr="0F0FD6CE">
        <w:rPr>
          <w:lang w:val="en-US"/>
        </w:rPr>
        <w:t xml:space="preserve">e expect that the NR SMTC framework can be largely reused in NR-U to handle the uncertainty introduced by LBT on the transmission of reference signals for mobility and RRM </w:t>
      </w:r>
      <w:r>
        <w:rPr>
          <w:lang w:val="en-US"/>
        </w:rPr>
        <w:t>measurements</w:t>
      </w:r>
      <w:r w:rsidRPr="0F0FD6CE">
        <w:rPr>
          <w:lang w:val="en-US"/>
        </w:rPr>
        <w:t xml:space="preserve">. </w:t>
      </w:r>
    </w:p>
    <w:p w14:paraId="43222805" w14:textId="59293D97" w:rsidR="002760F7" w:rsidRDefault="002760F7" w:rsidP="002760F7">
      <w:pPr>
        <w:jc w:val="both"/>
        <w:rPr>
          <w:i/>
          <w:lang w:val="en-US"/>
        </w:rPr>
      </w:pPr>
      <w:r>
        <w:rPr>
          <w:b/>
        </w:rPr>
        <w:t>Proposa</w:t>
      </w:r>
      <w:r w:rsidR="00E40D4A">
        <w:rPr>
          <w:b/>
        </w:rPr>
        <w:t>l 2</w:t>
      </w:r>
      <w:r w:rsidRPr="009E73C8">
        <w:rPr>
          <w:b/>
        </w:rPr>
        <w:t xml:space="preserve">: the NR SMTC framework </w:t>
      </w:r>
      <w:r>
        <w:rPr>
          <w:b/>
        </w:rPr>
        <w:t xml:space="preserve">is </w:t>
      </w:r>
      <w:r w:rsidRPr="009E73C8">
        <w:rPr>
          <w:b/>
        </w:rPr>
        <w:t xml:space="preserve">used </w:t>
      </w:r>
      <w:r>
        <w:rPr>
          <w:b/>
        </w:rPr>
        <w:t xml:space="preserve">as the </w:t>
      </w:r>
      <w:r w:rsidRPr="009E73C8">
        <w:rPr>
          <w:b/>
        </w:rPr>
        <w:t xml:space="preserve">baseline RRM framework to introduce support of both connected mode </w:t>
      </w:r>
      <w:r w:rsidR="00C2575B">
        <w:rPr>
          <w:b/>
        </w:rPr>
        <w:t xml:space="preserve">and idle/inactive </w:t>
      </w:r>
      <w:r w:rsidR="005E5DFC">
        <w:rPr>
          <w:b/>
        </w:rPr>
        <w:t xml:space="preserve">mode </w:t>
      </w:r>
      <w:r w:rsidRPr="009E73C8">
        <w:rPr>
          <w:b/>
        </w:rPr>
        <w:t>mobility in unlicensed spectrum.</w:t>
      </w:r>
    </w:p>
    <w:p w14:paraId="10661E5D" w14:textId="77777777" w:rsidR="002760F7" w:rsidRPr="002760F7" w:rsidRDefault="002760F7" w:rsidP="002760F7">
      <w:pPr>
        <w:jc w:val="both"/>
        <w:rPr>
          <w:lang w:val="en-US"/>
        </w:rPr>
      </w:pPr>
      <w:r w:rsidRPr="002760F7">
        <w:rPr>
          <w:lang w:val="en-US"/>
        </w:rPr>
        <w:t>However, some modifications and/or extensions of the NR SMTC framework may be needed. For example:</w:t>
      </w:r>
    </w:p>
    <w:p w14:paraId="38A78165" w14:textId="77777777" w:rsidR="002760F7" w:rsidRPr="002760F7" w:rsidRDefault="002760F7" w:rsidP="005E5DFC">
      <w:pPr>
        <w:pStyle w:val="ListParagraph"/>
        <w:numPr>
          <w:ilvl w:val="0"/>
          <w:numId w:val="20"/>
        </w:numPr>
        <w:ind w:left="360"/>
        <w:jc w:val="both"/>
        <w:rPr>
          <w:sz w:val="20"/>
          <w:szCs w:val="20"/>
          <w:lang w:val="en-US"/>
        </w:rPr>
      </w:pPr>
      <w:r w:rsidRPr="002760F7">
        <w:rPr>
          <w:sz w:val="20"/>
          <w:szCs w:val="20"/>
          <w:lang w:val="en-US"/>
        </w:rPr>
        <w:t>A new set of SMTC window durations and/or SMTC periodicities may need to be defined for operation in unlicensed spectrum.</w:t>
      </w:r>
    </w:p>
    <w:p w14:paraId="0D1BCE98" w14:textId="77777777" w:rsidR="002760F7" w:rsidRPr="002760F7" w:rsidRDefault="002760F7" w:rsidP="005E5DFC">
      <w:pPr>
        <w:pStyle w:val="ListParagraph"/>
        <w:ind w:left="360"/>
        <w:jc w:val="both"/>
        <w:rPr>
          <w:sz w:val="20"/>
          <w:szCs w:val="20"/>
          <w:lang w:val="en-US"/>
        </w:rPr>
      </w:pPr>
    </w:p>
    <w:p w14:paraId="7ED15AF5" w14:textId="77777777" w:rsidR="002760F7" w:rsidRPr="002760F7" w:rsidRDefault="002760F7" w:rsidP="005E5DFC">
      <w:pPr>
        <w:pStyle w:val="ListParagraph"/>
        <w:numPr>
          <w:ilvl w:val="0"/>
          <w:numId w:val="20"/>
        </w:numPr>
        <w:ind w:left="360"/>
        <w:jc w:val="both"/>
        <w:rPr>
          <w:sz w:val="20"/>
          <w:szCs w:val="20"/>
          <w:lang w:val="en-US"/>
        </w:rPr>
      </w:pPr>
      <w:r w:rsidRPr="002760F7">
        <w:rPr>
          <w:sz w:val="20"/>
          <w:szCs w:val="20"/>
          <w:lang w:val="en-US"/>
        </w:rPr>
        <w:t>The SMTC framework may need to be extended to also cover CSI-RS-based RRM measurements, and not only SSB-based RRM measurements.</w:t>
      </w:r>
    </w:p>
    <w:p w14:paraId="409B5C9E" w14:textId="77777777" w:rsidR="002760F7" w:rsidRPr="002760F7" w:rsidRDefault="002760F7" w:rsidP="005E5DFC">
      <w:pPr>
        <w:pStyle w:val="ListParagraph"/>
        <w:ind w:left="354"/>
        <w:jc w:val="both"/>
        <w:rPr>
          <w:sz w:val="20"/>
          <w:szCs w:val="20"/>
          <w:lang w:val="en-US"/>
        </w:rPr>
      </w:pPr>
    </w:p>
    <w:p w14:paraId="233CFDBB" w14:textId="6EAD5BAB" w:rsidR="002760F7" w:rsidRPr="0076432C" w:rsidRDefault="002760F7" w:rsidP="005E5DFC">
      <w:pPr>
        <w:pStyle w:val="ListParagraph"/>
        <w:numPr>
          <w:ilvl w:val="0"/>
          <w:numId w:val="23"/>
        </w:numPr>
        <w:spacing w:after="180"/>
        <w:ind w:left="354" w:hanging="357"/>
        <w:jc w:val="both"/>
        <w:rPr>
          <w:sz w:val="20"/>
          <w:szCs w:val="20"/>
          <w:lang w:val="en-US"/>
        </w:rPr>
      </w:pPr>
      <w:r w:rsidRPr="002760F7">
        <w:rPr>
          <w:sz w:val="20"/>
          <w:szCs w:val="20"/>
          <w:lang w:val="en-US"/>
        </w:rPr>
        <w:t>The SMTC framework may need modifications to enable the UE to detect and mea</w:t>
      </w:r>
      <w:r w:rsidR="00E40D4A">
        <w:rPr>
          <w:sz w:val="20"/>
          <w:szCs w:val="20"/>
          <w:lang w:val="en-US"/>
        </w:rPr>
        <w:t xml:space="preserve">sure unsynchronized NR-U cells, especially when </w:t>
      </w:r>
      <w:r w:rsidRPr="002760F7">
        <w:rPr>
          <w:sz w:val="20"/>
          <w:szCs w:val="20"/>
          <w:lang w:val="en-US"/>
        </w:rPr>
        <w:t>measurement gaps</w:t>
      </w:r>
      <w:r w:rsidR="005E5DFC">
        <w:rPr>
          <w:sz w:val="20"/>
          <w:szCs w:val="20"/>
          <w:lang w:val="en-US"/>
        </w:rPr>
        <w:t xml:space="preserve"> are needed (e.g</w:t>
      </w:r>
      <w:r w:rsidR="00E40D4A">
        <w:rPr>
          <w:sz w:val="20"/>
          <w:szCs w:val="20"/>
          <w:lang w:val="en-US"/>
        </w:rPr>
        <w:t>. inter-frequency measurements)</w:t>
      </w:r>
      <w:r w:rsidRPr="002760F7">
        <w:rPr>
          <w:sz w:val="20"/>
          <w:szCs w:val="20"/>
          <w:lang w:val="en-US"/>
        </w:rPr>
        <w:t>.</w:t>
      </w:r>
      <w:r w:rsidR="0076432C">
        <w:rPr>
          <w:sz w:val="20"/>
          <w:szCs w:val="20"/>
          <w:lang w:val="en-US"/>
        </w:rPr>
        <w:t xml:space="preserve"> The required modifications depend on the DRS periodicity, as well as on the measurement gap duration in NR.</w:t>
      </w:r>
    </w:p>
    <w:p w14:paraId="75DEAAB9" w14:textId="0CBC86E5" w:rsidR="002760F7" w:rsidRDefault="002760F7" w:rsidP="002760F7">
      <w:pPr>
        <w:spacing w:after="0"/>
        <w:jc w:val="both"/>
        <w:rPr>
          <w:lang w:val="en-US"/>
        </w:rPr>
      </w:pPr>
      <w:r>
        <w:rPr>
          <w:lang w:val="en-US"/>
        </w:rPr>
        <w:t xml:space="preserve">All these modifications and/or enhancement </w:t>
      </w:r>
      <w:r w:rsidRPr="00134FEA">
        <w:rPr>
          <w:lang w:val="en-US"/>
        </w:rPr>
        <w:t xml:space="preserve">depend on the </w:t>
      </w:r>
      <w:r>
        <w:rPr>
          <w:lang w:val="en-US"/>
        </w:rPr>
        <w:t xml:space="preserve">specific </w:t>
      </w:r>
      <w:r w:rsidRPr="00134FEA">
        <w:rPr>
          <w:lang w:val="en-US"/>
        </w:rPr>
        <w:t xml:space="preserve">NR-U DRS </w:t>
      </w:r>
      <w:r>
        <w:rPr>
          <w:lang w:val="en-US"/>
        </w:rPr>
        <w:t xml:space="preserve">design, which is primarily in the scope of RAN1 work. </w:t>
      </w:r>
    </w:p>
    <w:p w14:paraId="7A487975" w14:textId="77777777" w:rsidR="002760F7" w:rsidRDefault="002760F7" w:rsidP="002760F7">
      <w:pPr>
        <w:spacing w:after="0"/>
        <w:jc w:val="both"/>
        <w:rPr>
          <w:lang w:val="en-US"/>
        </w:rPr>
      </w:pPr>
    </w:p>
    <w:p w14:paraId="49688041" w14:textId="082391B8" w:rsidR="002760F7" w:rsidRPr="0075578C" w:rsidRDefault="00B20FC3" w:rsidP="002760F7">
      <w:pPr>
        <w:jc w:val="both"/>
        <w:rPr>
          <w:b/>
        </w:rPr>
      </w:pPr>
      <w:r>
        <w:rPr>
          <w:b/>
        </w:rPr>
        <w:t>Proposal 3</w:t>
      </w:r>
      <w:r w:rsidR="002760F7" w:rsidRPr="009E73C8">
        <w:rPr>
          <w:b/>
        </w:rPr>
        <w:t xml:space="preserve">: Potential modifications </w:t>
      </w:r>
      <w:r w:rsidR="005E5DFC">
        <w:rPr>
          <w:b/>
        </w:rPr>
        <w:t xml:space="preserve">of </w:t>
      </w:r>
      <w:r w:rsidR="002760F7" w:rsidRPr="009E73C8">
        <w:rPr>
          <w:b/>
        </w:rPr>
        <w:t>and</w:t>
      </w:r>
      <w:r w:rsidR="002760F7">
        <w:rPr>
          <w:b/>
        </w:rPr>
        <w:t>/or</w:t>
      </w:r>
      <w:r w:rsidR="002760F7" w:rsidRPr="009E73C8">
        <w:rPr>
          <w:b/>
        </w:rPr>
        <w:t xml:space="preserve"> enhancement</w:t>
      </w:r>
      <w:r w:rsidR="002760F7">
        <w:rPr>
          <w:b/>
        </w:rPr>
        <w:t>s</w:t>
      </w:r>
      <w:r w:rsidR="002760F7" w:rsidRPr="009E73C8">
        <w:rPr>
          <w:b/>
        </w:rPr>
        <w:t xml:space="preserve"> </w:t>
      </w:r>
      <w:r w:rsidR="005E5DFC">
        <w:rPr>
          <w:b/>
        </w:rPr>
        <w:t xml:space="preserve">to </w:t>
      </w:r>
      <w:r w:rsidR="002760F7">
        <w:rPr>
          <w:b/>
        </w:rPr>
        <w:t xml:space="preserve">the NR SMTC framework may be considered for </w:t>
      </w:r>
      <w:r w:rsidR="002760F7" w:rsidRPr="009E73C8">
        <w:rPr>
          <w:b/>
        </w:rPr>
        <w:t>operation in unlicensed spectrum</w:t>
      </w:r>
      <w:r w:rsidR="002760F7">
        <w:rPr>
          <w:b/>
        </w:rPr>
        <w:t>.</w:t>
      </w:r>
      <w:r w:rsidR="002760F7" w:rsidRPr="009E73C8">
        <w:rPr>
          <w:b/>
        </w:rPr>
        <w:t xml:space="preserve"> </w:t>
      </w:r>
      <w:r w:rsidR="002760F7">
        <w:rPr>
          <w:b/>
        </w:rPr>
        <w:t>The d</w:t>
      </w:r>
      <w:r w:rsidR="002760F7" w:rsidRPr="009E73C8">
        <w:rPr>
          <w:b/>
        </w:rPr>
        <w:t xml:space="preserve">etails are FFS, pending RAN1 decision on </w:t>
      </w:r>
      <w:r w:rsidR="005E5DFC">
        <w:rPr>
          <w:b/>
        </w:rPr>
        <w:t xml:space="preserve">the </w:t>
      </w:r>
      <w:r w:rsidR="002760F7" w:rsidRPr="009E73C8">
        <w:rPr>
          <w:b/>
        </w:rPr>
        <w:t>NR-U DRS design.</w:t>
      </w:r>
      <w:r w:rsidR="002760F7" w:rsidRPr="0075578C">
        <w:rPr>
          <w:b/>
        </w:rPr>
        <w:t xml:space="preserve"> </w:t>
      </w:r>
    </w:p>
    <w:p w14:paraId="305600EF" w14:textId="177E1C59" w:rsidR="0082592B" w:rsidRPr="006E13D1" w:rsidRDefault="0082592B" w:rsidP="0082592B">
      <w:pPr>
        <w:pStyle w:val="Heading1"/>
      </w:pPr>
      <w:r>
        <w:t>4</w:t>
      </w:r>
      <w:r w:rsidRPr="006E13D1">
        <w:tab/>
      </w:r>
      <w:r>
        <w:t>RRC Connected mode mobility: Handover</w:t>
      </w:r>
    </w:p>
    <w:p w14:paraId="1615D125" w14:textId="604D3B9B" w:rsidR="002760F7" w:rsidRPr="00E40D4A" w:rsidRDefault="002760F7" w:rsidP="002760F7">
      <w:pPr>
        <w:jc w:val="both"/>
        <w:rPr>
          <w:lang w:val="en-US"/>
        </w:rPr>
      </w:pPr>
      <w:r>
        <w:rPr>
          <w:lang w:val="en-US"/>
        </w:rPr>
        <w:t>Several handover enhancements, including conditional handover, have bee</w:t>
      </w:r>
      <w:r w:rsidR="005E5DFC">
        <w:rPr>
          <w:lang w:val="en-US"/>
        </w:rPr>
        <w:t>n discussed in NR, s</w:t>
      </w:r>
      <w:r>
        <w:rPr>
          <w:lang w:val="en-US"/>
        </w:rPr>
        <w:t xml:space="preserve">ee e.g. [5].  However, RAN2 has agreed that in Rel-15 NR, mobility shall reuse LTE-like handover. </w:t>
      </w:r>
      <w:r w:rsidR="00E40D4A">
        <w:rPr>
          <w:lang w:val="en-US"/>
        </w:rPr>
        <w:t xml:space="preserve">Mobility enhancements are first to be </w:t>
      </w:r>
      <w:r w:rsidR="005E5DFC">
        <w:rPr>
          <w:lang w:val="en-US"/>
        </w:rPr>
        <w:t xml:space="preserve">introduced in </w:t>
      </w:r>
      <w:r w:rsidR="00E40D4A">
        <w:rPr>
          <w:lang w:val="en-US"/>
        </w:rPr>
        <w:t>Rel-16 [</w:t>
      </w:r>
      <w:r w:rsidR="005E5DFC">
        <w:rPr>
          <w:lang w:val="en-US"/>
        </w:rPr>
        <w:t>6</w:t>
      </w:r>
      <w:r w:rsidR="00E40D4A">
        <w:rPr>
          <w:lang w:val="en-US"/>
        </w:rPr>
        <w:t>]. With</w:t>
      </w:r>
      <w:r w:rsidR="0082592B">
        <w:rPr>
          <w:lang w:val="en-US"/>
        </w:rPr>
        <w:t xml:space="preserve"> the LTE-like </w:t>
      </w:r>
      <w:r w:rsidR="0082592B">
        <w:rPr>
          <w:bCs/>
        </w:rPr>
        <w:t>backward handover</w:t>
      </w:r>
      <w:r w:rsidR="00E40D4A">
        <w:rPr>
          <w:lang w:val="en-US"/>
        </w:rPr>
        <w:t xml:space="preserve"> </w:t>
      </w:r>
      <w:r w:rsidR="0082592B">
        <w:rPr>
          <w:lang w:val="en-US"/>
        </w:rPr>
        <w:t xml:space="preserve">procedure, the </w:t>
      </w:r>
      <w:r>
        <w:t xml:space="preserve">UE </w:t>
      </w:r>
      <w:r w:rsidR="0082592B">
        <w:t xml:space="preserve">first </w:t>
      </w:r>
      <w:r>
        <w:t xml:space="preserve">sends a </w:t>
      </w:r>
      <w:r w:rsidRPr="005D73F8">
        <w:t>measurement report</w:t>
      </w:r>
      <w:r>
        <w:t>,</w:t>
      </w:r>
      <w:r w:rsidRPr="005D73F8">
        <w:t xml:space="preserve"> </w:t>
      </w:r>
      <w:r>
        <w:lastRenderedPageBreak/>
        <w:t xml:space="preserve">based on the configured measurement events and triggering criteria. Then the source cell sends a handover command to the </w:t>
      </w:r>
      <w:r w:rsidRPr="005D73F8">
        <w:t>UE</w:t>
      </w:r>
      <w:r>
        <w:t xml:space="preserve">, after having contacted the target cell. Finally, the UE performs a random-access </w:t>
      </w:r>
      <w:r w:rsidRPr="005D73F8">
        <w:t xml:space="preserve">procedure </w:t>
      </w:r>
      <w:r>
        <w:t xml:space="preserve">towards the </w:t>
      </w:r>
      <w:r w:rsidRPr="005D73F8">
        <w:t>target cell</w:t>
      </w:r>
      <w:r>
        <w:t xml:space="preserve">, and sends a handover complete </w:t>
      </w:r>
      <w:r w:rsidR="00471988">
        <w:t>message [7</w:t>
      </w:r>
      <w:r w:rsidRPr="009E73C8">
        <w:t>].</w:t>
      </w:r>
      <w:r>
        <w:t xml:space="preserve"> </w:t>
      </w:r>
      <w:r w:rsidRPr="009E73C8">
        <w:rPr>
          <w:lang w:val="en-US"/>
        </w:rPr>
        <w:t>A similar approach is assumed for (P)SCell management procedures in EN-DC [</w:t>
      </w:r>
      <w:r w:rsidR="00471988">
        <w:rPr>
          <w:lang w:val="en-US"/>
        </w:rPr>
        <w:t>8</w:t>
      </w:r>
      <w:r w:rsidRPr="009E73C8">
        <w:rPr>
          <w:lang w:val="en-US"/>
        </w:rPr>
        <w:t xml:space="preserve">], which is almost entirely based on </w:t>
      </w:r>
      <w:r w:rsidRPr="009E73C8">
        <w:t xml:space="preserve">the procedures defined for LTE dual connectivity </w:t>
      </w:r>
      <w:r w:rsidR="0082592B">
        <w:t xml:space="preserve">in </w:t>
      </w:r>
      <w:r w:rsidRPr="009E73C8">
        <w:t>TS 36.300</w:t>
      </w:r>
      <w:r w:rsidRPr="009E73C8">
        <w:rPr>
          <w:lang w:val="en-US"/>
        </w:rPr>
        <w:t>.</w:t>
      </w:r>
    </w:p>
    <w:p w14:paraId="5E0528EB" w14:textId="3E9C2D5D" w:rsidR="002760F7" w:rsidRPr="00003ECE" w:rsidRDefault="002760F7" w:rsidP="002760F7">
      <w:pPr>
        <w:jc w:val="both"/>
        <w:rPr>
          <w:lang w:val="en-US"/>
        </w:rPr>
      </w:pPr>
      <w:r>
        <w:rPr>
          <w:lang w:val="en-US"/>
        </w:rPr>
        <w:t xml:space="preserve">We </w:t>
      </w:r>
      <w:r>
        <w:t xml:space="preserve">propose adopting in NR-U the handover and </w:t>
      </w:r>
      <w:r>
        <w:rPr>
          <w:lang w:val="en-US"/>
        </w:rPr>
        <w:t xml:space="preserve">(P)SCell management </w:t>
      </w:r>
      <w:r>
        <w:t>procedures as agreed for NR Rel-15. Mobility enhancements for operation in unlicensed spectrum may be considered in a second phase</w:t>
      </w:r>
      <w:r w:rsidR="00C56E38">
        <w:t xml:space="preserve">, only </w:t>
      </w:r>
      <w:r>
        <w:t>after such enhancements are introduced for licensed NR</w:t>
      </w:r>
      <w:r w:rsidR="00C56E38">
        <w:t xml:space="preserve"> operation</w:t>
      </w:r>
      <w:r>
        <w:t xml:space="preserve">. </w:t>
      </w:r>
    </w:p>
    <w:p w14:paraId="36D84A43" w14:textId="67C53623" w:rsidR="009A0EA6" w:rsidRPr="0082592B" w:rsidRDefault="002760F7" w:rsidP="0082592B">
      <w:pPr>
        <w:jc w:val="both"/>
        <w:rPr>
          <w:b/>
          <w:lang w:val="en-US"/>
        </w:rPr>
      </w:pPr>
      <w:r w:rsidRPr="009E73C8">
        <w:rPr>
          <w:b/>
        </w:rPr>
        <w:t xml:space="preserve">Proposal </w:t>
      </w:r>
      <w:r w:rsidR="00B20FC3">
        <w:rPr>
          <w:b/>
        </w:rPr>
        <w:t>4</w:t>
      </w:r>
      <w:r w:rsidRPr="009E73C8">
        <w:rPr>
          <w:b/>
        </w:rPr>
        <w:t>:</w:t>
      </w:r>
      <w:r w:rsidRPr="009E73C8">
        <w:rPr>
          <w:b/>
          <w:lang w:val="en-US"/>
        </w:rPr>
        <w:t xml:space="preserve"> LTE-like handover procedure agreed for NR SA in Rel-15 is considered as baseline handover </w:t>
      </w:r>
      <w:r>
        <w:rPr>
          <w:b/>
          <w:lang w:val="en-US"/>
        </w:rPr>
        <w:t xml:space="preserve">procedure </w:t>
      </w:r>
      <w:r w:rsidRPr="009E73C8">
        <w:rPr>
          <w:b/>
          <w:lang w:val="en-US"/>
        </w:rPr>
        <w:t xml:space="preserve">for NR-U SA. </w:t>
      </w:r>
      <w:r w:rsidR="00C522CC">
        <w:rPr>
          <w:b/>
          <w:lang w:val="en-US"/>
        </w:rPr>
        <w:t>Enhanceme</w:t>
      </w:r>
      <w:bookmarkStart w:id="5" w:name="_GoBack"/>
      <w:bookmarkEnd w:id="5"/>
      <w:r w:rsidR="00C522CC">
        <w:rPr>
          <w:b/>
          <w:lang w:val="en-US"/>
        </w:rPr>
        <w:t>nts of the mobility procedures should be considered after they are introduced in licensed NR SA.</w:t>
      </w:r>
    </w:p>
    <w:p w14:paraId="43A12B72" w14:textId="7901EE78" w:rsidR="00CD4C7B" w:rsidRPr="006E13D1" w:rsidRDefault="0082592B" w:rsidP="00FC44B5">
      <w:pPr>
        <w:pStyle w:val="Heading1"/>
        <w:pBdr>
          <w:top w:val="single" w:sz="12" w:space="4" w:color="auto"/>
        </w:pBdr>
      </w:pPr>
      <w:r>
        <w:rPr>
          <w:rFonts w:hint="eastAsia"/>
          <w:lang w:eastAsia="zh-CN"/>
        </w:rPr>
        <w:t>5</w:t>
      </w:r>
      <w:r w:rsidR="00CD4C7B" w:rsidRPr="006E13D1">
        <w:tab/>
      </w:r>
      <w:r w:rsidR="007B6CFC">
        <w:rPr>
          <w:rFonts w:hint="eastAsia"/>
          <w:lang w:eastAsia="zh-CN"/>
        </w:rPr>
        <w:t xml:space="preserve">Conclusion </w:t>
      </w:r>
    </w:p>
    <w:p w14:paraId="70FA8996" w14:textId="20A5C209" w:rsidR="007B6CFC" w:rsidRDefault="007B6CFC" w:rsidP="00297615">
      <w:pPr>
        <w:jc w:val="both"/>
      </w:pPr>
      <w:r w:rsidRPr="006D0719">
        <w:t>The proposals and observations made in this contribution are summarized below.</w:t>
      </w:r>
    </w:p>
    <w:p w14:paraId="1424CD4C" w14:textId="77777777" w:rsidR="00C56E38" w:rsidRPr="005F0E8F" w:rsidRDefault="00C56E38" w:rsidP="00C56E38">
      <w:pPr>
        <w:jc w:val="both"/>
        <w:rPr>
          <w:b/>
          <w:lang w:val="en-US"/>
        </w:rPr>
      </w:pPr>
      <w:r w:rsidRPr="005F0E8F">
        <w:rPr>
          <w:b/>
          <w:lang w:val="en-US"/>
        </w:rPr>
        <w:t xml:space="preserve">Observation 1: A similar DRS design as standardized for LAA is likely to be introduced in NR-U. The transmission of the NR-U DRS </w:t>
      </w:r>
      <w:r>
        <w:rPr>
          <w:b/>
          <w:lang w:val="en-US"/>
        </w:rPr>
        <w:t>is likely to be</w:t>
      </w:r>
      <w:r w:rsidRPr="005F0E8F">
        <w:rPr>
          <w:b/>
          <w:lang w:val="en-US"/>
        </w:rPr>
        <w:t xml:space="preserve"> allowed within a window of opportunity that repeats with a </w:t>
      </w:r>
      <w:r>
        <w:rPr>
          <w:b/>
          <w:lang w:val="en-US"/>
        </w:rPr>
        <w:t>given</w:t>
      </w:r>
      <w:r w:rsidRPr="005F0E8F">
        <w:rPr>
          <w:b/>
          <w:lang w:val="en-US"/>
        </w:rPr>
        <w:t xml:space="preserve"> periodicity.</w:t>
      </w:r>
    </w:p>
    <w:p w14:paraId="19C0539E" w14:textId="025485B5" w:rsidR="00C56E38" w:rsidRDefault="00C56E38" w:rsidP="00C56E38">
      <w:pPr>
        <w:jc w:val="both"/>
        <w:rPr>
          <w:b/>
        </w:rPr>
      </w:pPr>
      <w:r>
        <w:rPr>
          <w:b/>
        </w:rPr>
        <w:t>Proposal 1</w:t>
      </w:r>
      <w:r w:rsidRPr="009D1802">
        <w:rPr>
          <w:b/>
        </w:rPr>
        <w:t>:</w:t>
      </w:r>
      <w:r w:rsidRPr="009D1802">
        <w:rPr>
          <w:b/>
          <w:lang w:val="en-US"/>
        </w:rPr>
        <w:t xml:space="preserve"> </w:t>
      </w:r>
      <w:r>
        <w:rPr>
          <w:b/>
          <w:lang w:val="en-US" w:eastAsia="zh-CN"/>
        </w:rPr>
        <w:t>UE-reported RSSI and Channel O</w:t>
      </w:r>
      <w:r w:rsidRPr="009D1802">
        <w:rPr>
          <w:b/>
          <w:lang w:val="en-US" w:eastAsia="zh-CN"/>
        </w:rPr>
        <w:t xml:space="preserve">ccupancy </w:t>
      </w:r>
      <w:r>
        <w:rPr>
          <w:b/>
          <w:lang w:val="en-US" w:eastAsia="zh-CN"/>
        </w:rPr>
        <w:t>(CO) measurement quantities</w:t>
      </w:r>
      <w:r w:rsidRPr="009D1802">
        <w:rPr>
          <w:b/>
          <w:lang w:val="en-US" w:eastAsia="zh-CN"/>
        </w:rPr>
        <w:t xml:space="preserve"> introduced for operation in unlicense</w:t>
      </w:r>
      <w:r>
        <w:rPr>
          <w:b/>
          <w:lang w:val="en-US" w:eastAsia="zh-CN"/>
        </w:rPr>
        <w:t>d spectrum in Rel-</w:t>
      </w:r>
      <w:r w:rsidRPr="009D1802">
        <w:rPr>
          <w:b/>
          <w:lang w:val="en-US" w:eastAsia="zh-CN"/>
        </w:rPr>
        <w:t xml:space="preserve">13 LAA should also be </w:t>
      </w:r>
      <w:r>
        <w:rPr>
          <w:b/>
          <w:lang w:val="en-US" w:eastAsia="zh-CN"/>
        </w:rPr>
        <w:t xml:space="preserve">specified for </w:t>
      </w:r>
      <w:r w:rsidRPr="009D1802">
        <w:rPr>
          <w:b/>
          <w:lang w:val="en-US" w:eastAsia="zh-CN"/>
        </w:rPr>
        <w:t xml:space="preserve">NR-based access </w:t>
      </w:r>
      <w:r w:rsidRPr="009D1802">
        <w:rPr>
          <w:b/>
        </w:rPr>
        <w:t>to unlicensed spectrum.</w:t>
      </w:r>
    </w:p>
    <w:p w14:paraId="776F7707" w14:textId="6804C32C" w:rsidR="00C56E38" w:rsidRDefault="00C56E38" w:rsidP="00C56E38">
      <w:pPr>
        <w:jc w:val="both"/>
        <w:rPr>
          <w:i/>
          <w:lang w:val="en-US"/>
        </w:rPr>
      </w:pPr>
      <w:r>
        <w:rPr>
          <w:b/>
        </w:rPr>
        <w:t>Proposal 2</w:t>
      </w:r>
      <w:r w:rsidRPr="009E73C8">
        <w:rPr>
          <w:b/>
        </w:rPr>
        <w:t xml:space="preserve">: the NR SMTC framework </w:t>
      </w:r>
      <w:r>
        <w:rPr>
          <w:b/>
        </w:rPr>
        <w:t xml:space="preserve">is </w:t>
      </w:r>
      <w:r w:rsidRPr="009E73C8">
        <w:rPr>
          <w:b/>
        </w:rPr>
        <w:t xml:space="preserve">used </w:t>
      </w:r>
      <w:r>
        <w:rPr>
          <w:b/>
        </w:rPr>
        <w:t xml:space="preserve">as the </w:t>
      </w:r>
      <w:r w:rsidRPr="009E73C8">
        <w:rPr>
          <w:b/>
        </w:rPr>
        <w:t xml:space="preserve">baseline RRM framework to introduce support of both connected mode </w:t>
      </w:r>
      <w:r>
        <w:rPr>
          <w:b/>
        </w:rPr>
        <w:t xml:space="preserve">and idle/inactive mode </w:t>
      </w:r>
      <w:r w:rsidRPr="009E73C8">
        <w:rPr>
          <w:b/>
        </w:rPr>
        <w:t>mobility in unlicensed spectrum.</w:t>
      </w:r>
    </w:p>
    <w:p w14:paraId="7AF1F54D" w14:textId="77777777" w:rsidR="00C56E38" w:rsidRPr="0075578C" w:rsidRDefault="00C56E38" w:rsidP="00C56E38">
      <w:pPr>
        <w:jc w:val="both"/>
        <w:rPr>
          <w:b/>
        </w:rPr>
      </w:pPr>
      <w:r>
        <w:rPr>
          <w:b/>
        </w:rPr>
        <w:t>Proposal 3</w:t>
      </w:r>
      <w:r w:rsidRPr="009E73C8">
        <w:rPr>
          <w:b/>
        </w:rPr>
        <w:t xml:space="preserve">: Potential modifications </w:t>
      </w:r>
      <w:r>
        <w:rPr>
          <w:b/>
        </w:rPr>
        <w:t xml:space="preserve">of </w:t>
      </w:r>
      <w:r w:rsidRPr="009E73C8">
        <w:rPr>
          <w:b/>
        </w:rPr>
        <w:t>and</w:t>
      </w:r>
      <w:r>
        <w:rPr>
          <w:b/>
        </w:rPr>
        <w:t>/or</w:t>
      </w:r>
      <w:r w:rsidRPr="009E73C8">
        <w:rPr>
          <w:b/>
        </w:rPr>
        <w:t xml:space="preserve"> enhancement</w:t>
      </w:r>
      <w:r>
        <w:rPr>
          <w:b/>
        </w:rPr>
        <w:t>s</w:t>
      </w:r>
      <w:r w:rsidRPr="009E73C8">
        <w:rPr>
          <w:b/>
        </w:rPr>
        <w:t xml:space="preserve"> </w:t>
      </w:r>
      <w:r>
        <w:rPr>
          <w:b/>
        </w:rPr>
        <w:t xml:space="preserve">to the NR SMTC framework may be considered for </w:t>
      </w:r>
      <w:r w:rsidRPr="009E73C8">
        <w:rPr>
          <w:b/>
        </w:rPr>
        <w:t>operation in unlicensed spectrum</w:t>
      </w:r>
      <w:r>
        <w:rPr>
          <w:b/>
        </w:rPr>
        <w:t>.</w:t>
      </w:r>
      <w:r w:rsidRPr="009E73C8">
        <w:rPr>
          <w:b/>
        </w:rPr>
        <w:t xml:space="preserve"> </w:t>
      </w:r>
      <w:r>
        <w:rPr>
          <w:b/>
        </w:rPr>
        <w:t>The d</w:t>
      </w:r>
      <w:r w:rsidRPr="009E73C8">
        <w:rPr>
          <w:b/>
        </w:rPr>
        <w:t xml:space="preserve">etails are FFS, pending RAN1 decision on </w:t>
      </w:r>
      <w:r>
        <w:rPr>
          <w:b/>
        </w:rPr>
        <w:t xml:space="preserve">the </w:t>
      </w:r>
      <w:r w:rsidRPr="009E73C8">
        <w:rPr>
          <w:b/>
        </w:rPr>
        <w:t>NR-U DRS design.</w:t>
      </w:r>
      <w:r w:rsidRPr="0075578C">
        <w:rPr>
          <w:b/>
        </w:rPr>
        <w:t xml:space="preserve"> </w:t>
      </w:r>
    </w:p>
    <w:p w14:paraId="54569CF4" w14:textId="4388BB1E" w:rsidR="00293039" w:rsidRPr="00594C9F" w:rsidRDefault="00C56E38" w:rsidP="00C56E38">
      <w:pPr>
        <w:jc w:val="both"/>
        <w:rPr>
          <w:b/>
          <w:lang w:eastAsia="zh-CN"/>
        </w:rPr>
      </w:pPr>
      <w:r w:rsidRPr="009E73C8">
        <w:rPr>
          <w:b/>
        </w:rPr>
        <w:t xml:space="preserve">Proposal </w:t>
      </w:r>
      <w:r>
        <w:rPr>
          <w:b/>
        </w:rPr>
        <w:t>4</w:t>
      </w:r>
      <w:r w:rsidRPr="009E73C8">
        <w:rPr>
          <w:b/>
        </w:rPr>
        <w:t>:</w:t>
      </w:r>
      <w:r w:rsidRPr="009E73C8">
        <w:rPr>
          <w:b/>
          <w:lang w:val="en-US"/>
        </w:rPr>
        <w:t xml:space="preserve"> LTE-like handover procedure agreed for NR SA in Rel-15 is considered as baseline handover </w:t>
      </w:r>
      <w:r>
        <w:rPr>
          <w:b/>
          <w:lang w:val="en-US"/>
        </w:rPr>
        <w:t xml:space="preserve">procedure </w:t>
      </w:r>
      <w:r w:rsidRPr="009E73C8">
        <w:rPr>
          <w:b/>
          <w:lang w:val="en-US"/>
        </w:rPr>
        <w:t>for NR-U SA.</w:t>
      </w:r>
      <w:r w:rsidR="00C522CC" w:rsidRPr="00C522CC">
        <w:rPr>
          <w:b/>
          <w:lang w:val="en-US"/>
        </w:rPr>
        <w:t xml:space="preserve"> </w:t>
      </w:r>
      <w:r w:rsidR="00C522CC">
        <w:rPr>
          <w:b/>
          <w:lang w:val="en-US"/>
        </w:rPr>
        <w:t>Enhancements of the mobility procedures should be considered after they are introduced in licensed NR SA.</w:t>
      </w:r>
    </w:p>
    <w:p w14:paraId="0FDCFAC2" w14:textId="77777777" w:rsidR="00CD4C7B" w:rsidRPr="006E13D1" w:rsidRDefault="00CD4C7B" w:rsidP="00297615">
      <w:pPr>
        <w:pStyle w:val="Heading1"/>
        <w:jc w:val="both"/>
      </w:pPr>
      <w:r w:rsidRPr="006E13D1">
        <w:t>References</w:t>
      </w:r>
    </w:p>
    <w:p w14:paraId="7348B7DD" w14:textId="226CE91D" w:rsidR="00B20FC3" w:rsidRPr="00784755" w:rsidRDefault="00FD114F" w:rsidP="00B20FC3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  <w:bookmarkStart w:id="6" w:name="_Ref75086397"/>
      <w:r w:rsidRPr="00784755">
        <w:rPr>
          <w:lang w:val="en-US" w:eastAsia="zh-CN"/>
        </w:rPr>
        <w:t>RP-181339</w:t>
      </w:r>
      <w:r w:rsidR="00B20FC3" w:rsidRPr="00784755">
        <w:rPr>
          <w:lang w:val="en-US" w:eastAsia="zh-CN"/>
        </w:rPr>
        <w:t xml:space="preserve">, </w:t>
      </w:r>
      <w:r w:rsidR="00B20FC3" w:rsidRPr="00784755">
        <w:rPr>
          <w:i/>
          <w:lang w:val="en-US" w:eastAsia="zh-CN"/>
        </w:rPr>
        <w:t>“</w:t>
      </w:r>
      <w:r w:rsidR="00B20FC3" w:rsidRPr="00784755">
        <w:rPr>
          <w:i/>
          <w:iCs/>
          <w:lang w:val="en-US" w:eastAsia="zh-CN"/>
        </w:rPr>
        <w:t>Study on NR-based Access to Unlicensed Spectrum</w:t>
      </w:r>
      <w:r w:rsidR="00B20FC3" w:rsidRPr="00784755">
        <w:rPr>
          <w:i/>
          <w:lang w:val="en-US" w:eastAsia="zh-CN"/>
        </w:rPr>
        <w:t>”</w:t>
      </w:r>
      <w:r w:rsidR="00B20FC3" w:rsidRPr="00784755">
        <w:rPr>
          <w:lang w:val="en-US" w:eastAsia="zh-CN"/>
        </w:rPr>
        <w:t xml:space="preserve"> - Qualcomm Incorporated</w:t>
      </w:r>
    </w:p>
    <w:p w14:paraId="4737B402" w14:textId="55885110" w:rsidR="00D93D72" w:rsidRPr="00784755" w:rsidRDefault="00D93D72" w:rsidP="00B20FC3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  <w:r w:rsidRPr="0002498E">
        <w:rPr>
          <w:lang w:val="en-US" w:eastAsia="zh-CN"/>
        </w:rPr>
        <w:t>R2-18</w:t>
      </w:r>
      <w:r w:rsidR="0002498E" w:rsidRPr="0002498E">
        <w:rPr>
          <w:lang w:val="en-US" w:eastAsia="zh-CN"/>
        </w:rPr>
        <w:t>10218</w:t>
      </w:r>
      <w:r w:rsidRPr="0002498E">
        <w:rPr>
          <w:lang w:val="en-US" w:eastAsia="zh-CN"/>
        </w:rPr>
        <w:t xml:space="preserve">, </w:t>
      </w:r>
      <w:r w:rsidRPr="0002498E">
        <w:rPr>
          <w:i/>
          <w:lang w:val="en-US" w:eastAsia="zh-CN"/>
        </w:rPr>
        <w:t>“</w:t>
      </w:r>
      <w:r w:rsidRPr="0002498E">
        <w:rPr>
          <w:bCs/>
          <w:i/>
          <w:lang w:eastAsia="zh-CN"/>
        </w:rPr>
        <w:t>Considerations</w:t>
      </w:r>
      <w:r w:rsidRPr="00784755">
        <w:rPr>
          <w:bCs/>
          <w:i/>
          <w:lang w:eastAsia="zh-CN"/>
        </w:rPr>
        <w:t xml:space="preserve"> on cell reselection in Idle/Inactive mode for NR-U</w:t>
      </w:r>
      <w:bookmarkStart w:id="7" w:name="_Hlk517262081"/>
      <w:r w:rsidRPr="00784755">
        <w:rPr>
          <w:bCs/>
          <w:i/>
          <w:lang w:eastAsia="zh-CN"/>
        </w:rPr>
        <w:t>”</w:t>
      </w:r>
      <w:r w:rsidR="00784755" w:rsidRPr="00784755">
        <w:rPr>
          <w:bCs/>
          <w:lang w:eastAsia="zh-CN"/>
        </w:rPr>
        <w:t xml:space="preserve"> – Nokia, Nokia Shanghai Bell</w:t>
      </w:r>
    </w:p>
    <w:bookmarkEnd w:id="6"/>
    <w:bookmarkEnd w:id="7"/>
    <w:p w14:paraId="75E7372B" w14:textId="0B562389" w:rsidR="00471988" w:rsidRPr="00C56E38" w:rsidRDefault="00B20FC3" w:rsidP="00471988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C56E38">
        <w:rPr>
          <w:bCs/>
          <w:lang w:val="en-US"/>
        </w:rPr>
        <w:t xml:space="preserve">RP-172515, </w:t>
      </w:r>
      <w:r w:rsidRPr="00C56E38">
        <w:rPr>
          <w:bCs/>
          <w:i/>
          <w:lang w:val="en-US"/>
        </w:rPr>
        <w:t>“Motivation for NR Mobility Enhancements for Rel-16”</w:t>
      </w:r>
      <w:r w:rsidRPr="00C56E38">
        <w:rPr>
          <w:bCs/>
          <w:lang w:val="en-US"/>
        </w:rPr>
        <w:t xml:space="preserve"> – OPPO</w:t>
      </w:r>
    </w:p>
    <w:p w14:paraId="029DEA28" w14:textId="7DBBE015" w:rsidR="00471988" w:rsidRPr="00720902" w:rsidRDefault="00720902" w:rsidP="00471988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720902">
        <w:t>3GPP TS 36.214, “</w:t>
      </w:r>
      <w:r w:rsidRPr="00720902">
        <w:rPr>
          <w:color w:val="000000"/>
        </w:rPr>
        <w:t>Evolved Universal Terrestrial Radio Access (E-UTRA); Physical layer; Measurements”</w:t>
      </w:r>
    </w:p>
    <w:p w14:paraId="542A98A9" w14:textId="6FA934A4" w:rsidR="00471988" w:rsidRPr="00720902" w:rsidRDefault="00720902" w:rsidP="00471988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720902">
        <w:t>3GPP TS 36.331, “</w:t>
      </w:r>
      <w:r w:rsidRPr="00720902">
        <w:rPr>
          <w:color w:val="000000"/>
        </w:rPr>
        <w:t>Evolved Universal Terrestrial Radio Access (E-UTRA); Radio Resource Control (RRC); Protocol specification”</w:t>
      </w:r>
    </w:p>
    <w:p w14:paraId="1FCACA66" w14:textId="4838EEC6" w:rsidR="00471988" w:rsidRPr="00C56E38" w:rsidRDefault="00471988" w:rsidP="00471988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C56E38">
        <w:rPr>
          <w:lang w:val="en-US" w:eastAsia="zh-CN"/>
        </w:rPr>
        <w:t xml:space="preserve">RP-181433, </w:t>
      </w:r>
      <w:r w:rsidRPr="00C56E38">
        <w:rPr>
          <w:i/>
          <w:lang w:val="en-US" w:eastAsia="zh-CN"/>
        </w:rPr>
        <w:t>“</w:t>
      </w:r>
      <w:r w:rsidRPr="00C56E38">
        <w:rPr>
          <w:i/>
          <w:iCs/>
          <w:lang w:val="en-US" w:eastAsia="zh-CN"/>
        </w:rPr>
        <w:t>NR mobility enhancements</w:t>
      </w:r>
      <w:r w:rsidRPr="00C56E38">
        <w:rPr>
          <w:i/>
          <w:lang w:val="en-US" w:eastAsia="zh-CN"/>
        </w:rPr>
        <w:t>”</w:t>
      </w:r>
      <w:r w:rsidRPr="00C56E38">
        <w:rPr>
          <w:lang w:val="en-US" w:eastAsia="zh-CN"/>
        </w:rPr>
        <w:t xml:space="preserve"> - Intel Corporation</w:t>
      </w:r>
    </w:p>
    <w:p w14:paraId="19FF823D" w14:textId="77777777" w:rsidR="00B20FC3" w:rsidRPr="00C56E38" w:rsidRDefault="00B20FC3" w:rsidP="00B20FC3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C56E38">
        <w:t xml:space="preserve">3GPP TS 37.340, </w:t>
      </w:r>
      <w:r w:rsidRPr="00C56E38">
        <w:rPr>
          <w:i/>
        </w:rPr>
        <w:t>“E-UTRA and NR Multi-connectivity (Stage 2)”</w:t>
      </w:r>
      <w:r w:rsidRPr="00C56E38">
        <w:t xml:space="preserve"> </w:t>
      </w:r>
    </w:p>
    <w:p w14:paraId="7A3419BA" w14:textId="77777777" w:rsidR="00B20FC3" w:rsidRPr="00C56E38" w:rsidRDefault="00B20FC3" w:rsidP="00B20FC3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C56E38">
        <w:t xml:space="preserve">3GPP TS 38.300, </w:t>
      </w:r>
      <w:r w:rsidRPr="00C56E38">
        <w:rPr>
          <w:i/>
        </w:rPr>
        <w:t>“NR and NG-RAN Overall Description (Stage 2)”</w:t>
      </w:r>
    </w:p>
    <w:p w14:paraId="055200B7" w14:textId="77777777" w:rsidR="00CD4C7B" w:rsidRDefault="00CD4C7B" w:rsidP="00CD4C7B">
      <w:pPr>
        <w:rPr>
          <w:lang w:eastAsia="zh-CN"/>
        </w:rPr>
      </w:pPr>
    </w:p>
    <w:sectPr w:rsidR="00CD4C7B" w:rsidSect="0041273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87D70" w14:textId="77777777" w:rsidR="00F943A0" w:rsidRDefault="00F943A0">
      <w:r>
        <w:separator/>
      </w:r>
    </w:p>
  </w:endnote>
  <w:endnote w:type="continuationSeparator" w:id="0">
    <w:p w14:paraId="08C9045D" w14:textId="77777777" w:rsidR="00F943A0" w:rsidRDefault="00F94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D9B8F" w14:textId="77777777" w:rsidR="00F943A0" w:rsidRDefault="00F943A0">
      <w:r>
        <w:separator/>
      </w:r>
    </w:p>
  </w:footnote>
  <w:footnote w:type="continuationSeparator" w:id="0">
    <w:p w14:paraId="18B4125C" w14:textId="77777777" w:rsidR="00F943A0" w:rsidRDefault="00F94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01B4B"/>
    <w:multiLevelType w:val="hybridMultilevel"/>
    <w:tmpl w:val="66FAE94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92114E"/>
    <w:multiLevelType w:val="hybridMultilevel"/>
    <w:tmpl w:val="C1C058C0"/>
    <w:lvl w:ilvl="0" w:tplc="4AB8E3F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  <w:color w:val="auto"/>
        <w:sz w:val="24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F4FC6"/>
    <w:multiLevelType w:val="hybridMultilevel"/>
    <w:tmpl w:val="F83FA9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BB84326"/>
    <w:multiLevelType w:val="hybridMultilevel"/>
    <w:tmpl w:val="7D466C20"/>
    <w:lvl w:ilvl="0" w:tplc="95D247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C0AFF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C488A8">
      <w:start w:val="135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8551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7807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A019C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9852F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BC44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706B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A4612"/>
    <w:multiLevelType w:val="hybridMultilevel"/>
    <w:tmpl w:val="A0D0BC1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7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AE3089"/>
    <w:multiLevelType w:val="hybridMultilevel"/>
    <w:tmpl w:val="F0F206AA"/>
    <w:lvl w:ilvl="0" w:tplc="3E4E9A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A2CB9"/>
    <w:multiLevelType w:val="hybridMultilevel"/>
    <w:tmpl w:val="04604C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AC191DA"/>
    <w:multiLevelType w:val="singleLevel"/>
    <w:tmpl w:val="5AC191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607664BC"/>
    <w:multiLevelType w:val="hybridMultilevel"/>
    <w:tmpl w:val="A96C3B2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7836DB"/>
    <w:multiLevelType w:val="hybridMultilevel"/>
    <w:tmpl w:val="1272EEF2"/>
    <w:lvl w:ilvl="0" w:tplc="245E70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9E71C33"/>
    <w:multiLevelType w:val="hybridMultilevel"/>
    <w:tmpl w:val="F814C390"/>
    <w:lvl w:ilvl="0" w:tplc="267EF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A4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6A6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02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DEF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CF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40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8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0B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4A9FCEC"/>
    <w:multiLevelType w:val="hybridMultilevel"/>
    <w:tmpl w:val="6A9D4E72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75E77517"/>
    <w:multiLevelType w:val="hybridMultilevel"/>
    <w:tmpl w:val="9CA4B2EE"/>
    <w:lvl w:ilvl="0" w:tplc="D744D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002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7CD7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CE2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6A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ECA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C02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24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78C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8"/>
  </w:num>
  <w:num w:numId="5">
    <w:abstractNumId w:val="7"/>
  </w:num>
  <w:num w:numId="6">
    <w:abstractNumId w:val="13"/>
  </w:num>
  <w:num w:numId="7">
    <w:abstractNumId w:val="9"/>
  </w:num>
  <w:num w:numId="8">
    <w:abstractNumId w:val="5"/>
  </w:num>
  <w:num w:numId="9">
    <w:abstractNumId w:val="19"/>
  </w:num>
  <w:num w:numId="10">
    <w:abstractNumId w:val="4"/>
  </w:num>
  <w:num w:numId="11">
    <w:abstractNumId w:val="6"/>
  </w:num>
  <w:num w:numId="12">
    <w:abstractNumId w:val="11"/>
  </w:num>
  <w:num w:numId="13">
    <w:abstractNumId w:val="14"/>
  </w:num>
  <w:num w:numId="14">
    <w:abstractNumId w:val="18"/>
  </w:num>
  <w:num w:numId="15">
    <w:abstractNumId w:val="20"/>
  </w:num>
  <w:num w:numId="16">
    <w:abstractNumId w:val="17"/>
  </w:num>
  <w:num w:numId="17">
    <w:abstractNumId w:val="15"/>
  </w:num>
  <w:num w:numId="18">
    <w:abstractNumId w:val="1"/>
  </w:num>
  <w:num w:numId="19">
    <w:abstractNumId w:val="16"/>
  </w:num>
  <w:num w:numId="20">
    <w:abstractNumId w:val="12"/>
  </w:num>
  <w:num w:numId="21">
    <w:abstractNumId w:val="10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498E"/>
    <w:rsid w:val="0003254C"/>
    <w:rsid w:val="00033397"/>
    <w:rsid w:val="00040095"/>
    <w:rsid w:val="00046630"/>
    <w:rsid w:val="00061637"/>
    <w:rsid w:val="00062792"/>
    <w:rsid w:val="0007556B"/>
    <w:rsid w:val="00080512"/>
    <w:rsid w:val="00090468"/>
    <w:rsid w:val="000A055D"/>
    <w:rsid w:val="000A184C"/>
    <w:rsid w:val="000A4F3F"/>
    <w:rsid w:val="000B491E"/>
    <w:rsid w:val="000B5AE8"/>
    <w:rsid w:val="000B7BCF"/>
    <w:rsid w:val="000C522B"/>
    <w:rsid w:val="000D382C"/>
    <w:rsid w:val="000D5392"/>
    <w:rsid w:val="000D58AB"/>
    <w:rsid w:val="000D6F09"/>
    <w:rsid w:val="000E5C2B"/>
    <w:rsid w:val="000E7994"/>
    <w:rsid w:val="000F578F"/>
    <w:rsid w:val="00100D05"/>
    <w:rsid w:val="00105C35"/>
    <w:rsid w:val="00110469"/>
    <w:rsid w:val="00112F1A"/>
    <w:rsid w:val="00123E61"/>
    <w:rsid w:val="00132FC0"/>
    <w:rsid w:val="00142DB7"/>
    <w:rsid w:val="00145075"/>
    <w:rsid w:val="0015011C"/>
    <w:rsid w:val="00153EFD"/>
    <w:rsid w:val="0016620C"/>
    <w:rsid w:val="001710A6"/>
    <w:rsid w:val="00172749"/>
    <w:rsid w:val="001741A0"/>
    <w:rsid w:val="00175FA0"/>
    <w:rsid w:val="00180B20"/>
    <w:rsid w:val="00184A94"/>
    <w:rsid w:val="00194CD0"/>
    <w:rsid w:val="001A502E"/>
    <w:rsid w:val="001B4442"/>
    <w:rsid w:val="001B49C9"/>
    <w:rsid w:val="001C30B5"/>
    <w:rsid w:val="001C4F79"/>
    <w:rsid w:val="001D54AD"/>
    <w:rsid w:val="001D65A6"/>
    <w:rsid w:val="001F168B"/>
    <w:rsid w:val="001F7831"/>
    <w:rsid w:val="00204045"/>
    <w:rsid w:val="0020712B"/>
    <w:rsid w:val="002107D5"/>
    <w:rsid w:val="00217EA2"/>
    <w:rsid w:val="00222823"/>
    <w:rsid w:val="0022606D"/>
    <w:rsid w:val="00231728"/>
    <w:rsid w:val="0024643D"/>
    <w:rsid w:val="002641AA"/>
    <w:rsid w:val="002647F7"/>
    <w:rsid w:val="002658C9"/>
    <w:rsid w:val="00265B33"/>
    <w:rsid w:val="002703B1"/>
    <w:rsid w:val="00270A00"/>
    <w:rsid w:val="00272FEE"/>
    <w:rsid w:val="002747EC"/>
    <w:rsid w:val="002760F7"/>
    <w:rsid w:val="002813B7"/>
    <w:rsid w:val="002855BF"/>
    <w:rsid w:val="00287BA8"/>
    <w:rsid w:val="00293039"/>
    <w:rsid w:val="00297615"/>
    <w:rsid w:val="002A3290"/>
    <w:rsid w:val="002B4225"/>
    <w:rsid w:val="002B5FB8"/>
    <w:rsid w:val="002B629B"/>
    <w:rsid w:val="002B6E03"/>
    <w:rsid w:val="002C21C4"/>
    <w:rsid w:val="002D6D91"/>
    <w:rsid w:val="002F0D22"/>
    <w:rsid w:val="00300220"/>
    <w:rsid w:val="00303614"/>
    <w:rsid w:val="00305394"/>
    <w:rsid w:val="00311E9F"/>
    <w:rsid w:val="003172DC"/>
    <w:rsid w:val="00325AE3"/>
    <w:rsid w:val="00326069"/>
    <w:rsid w:val="00335D29"/>
    <w:rsid w:val="003400EB"/>
    <w:rsid w:val="00340DB7"/>
    <w:rsid w:val="00341891"/>
    <w:rsid w:val="00343CCE"/>
    <w:rsid w:val="00351C25"/>
    <w:rsid w:val="00354335"/>
    <w:rsid w:val="0035462D"/>
    <w:rsid w:val="00364B41"/>
    <w:rsid w:val="00365C05"/>
    <w:rsid w:val="00366421"/>
    <w:rsid w:val="003710D8"/>
    <w:rsid w:val="0037134A"/>
    <w:rsid w:val="003742B9"/>
    <w:rsid w:val="00381034"/>
    <w:rsid w:val="00381F29"/>
    <w:rsid w:val="00390796"/>
    <w:rsid w:val="00390F3C"/>
    <w:rsid w:val="00397781"/>
    <w:rsid w:val="003A3B07"/>
    <w:rsid w:val="003A4AC0"/>
    <w:rsid w:val="003B40AD"/>
    <w:rsid w:val="003C021B"/>
    <w:rsid w:val="003C4E37"/>
    <w:rsid w:val="003D64C1"/>
    <w:rsid w:val="003E16BE"/>
    <w:rsid w:val="003F320D"/>
    <w:rsid w:val="003F4E28"/>
    <w:rsid w:val="004006E8"/>
    <w:rsid w:val="00401855"/>
    <w:rsid w:val="00412738"/>
    <w:rsid w:val="004130D4"/>
    <w:rsid w:val="00417DEC"/>
    <w:rsid w:val="00426E78"/>
    <w:rsid w:val="0044151E"/>
    <w:rsid w:val="00445384"/>
    <w:rsid w:val="00446D18"/>
    <w:rsid w:val="00453A40"/>
    <w:rsid w:val="004618DD"/>
    <w:rsid w:val="00470154"/>
    <w:rsid w:val="00471988"/>
    <w:rsid w:val="00476D6E"/>
    <w:rsid w:val="00477243"/>
    <w:rsid w:val="00477455"/>
    <w:rsid w:val="004A05AB"/>
    <w:rsid w:val="004A1F7B"/>
    <w:rsid w:val="004A5775"/>
    <w:rsid w:val="004A6975"/>
    <w:rsid w:val="004B6998"/>
    <w:rsid w:val="004C44D2"/>
    <w:rsid w:val="004D0D08"/>
    <w:rsid w:val="004D2ED6"/>
    <w:rsid w:val="004D3578"/>
    <w:rsid w:val="004D380D"/>
    <w:rsid w:val="004D5953"/>
    <w:rsid w:val="004D7906"/>
    <w:rsid w:val="004E213A"/>
    <w:rsid w:val="004E611C"/>
    <w:rsid w:val="004E7A27"/>
    <w:rsid w:val="00503171"/>
    <w:rsid w:val="00506C28"/>
    <w:rsid w:val="00510808"/>
    <w:rsid w:val="005201C0"/>
    <w:rsid w:val="00523A52"/>
    <w:rsid w:val="00524770"/>
    <w:rsid w:val="00527134"/>
    <w:rsid w:val="00534DA0"/>
    <w:rsid w:val="00536C76"/>
    <w:rsid w:val="00541B3C"/>
    <w:rsid w:val="00541F69"/>
    <w:rsid w:val="00543E6C"/>
    <w:rsid w:val="005540D6"/>
    <w:rsid w:val="005549EF"/>
    <w:rsid w:val="00565087"/>
    <w:rsid w:val="0056573F"/>
    <w:rsid w:val="0057286B"/>
    <w:rsid w:val="0057371A"/>
    <w:rsid w:val="00573F12"/>
    <w:rsid w:val="00575FDF"/>
    <w:rsid w:val="005813B7"/>
    <w:rsid w:val="0058266C"/>
    <w:rsid w:val="005829DF"/>
    <w:rsid w:val="00591DDC"/>
    <w:rsid w:val="00594C9F"/>
    <w:rsid w:val="005B2C60"/>
    <w:rsid w:val="005B4B30"/>
    <w:rsid w:val="005C042E"/>
    <w:rsid w:val="005C7C71"/>
    <w:rsid w:val="005D1553"/>
    <w:rsid w:val="005D6474"/>
    <w:rsid w:val="005E5DFC"/>
    <w:rsid w:val="005F5BDB"/>
    <w:rsid w:val="0060544E"/>
    <w:rsid w:val="00610313"/>
    <w:rsid w:val="00611566"/>
    <w:rsid w:val="006144DA"/>
    <w:rsid w:val="00632A2B"/>
    <w:rsid w:val="00632F93"/>
    <w:rsid w:val="006368B1"/>
    <w:rsid w:val="00642BB2"/>
    <w:rsid w:val="0064499D"/>
    <w:rsid w:val="00646D99"/>
    <w:rsid w:val="006534B5"/>
    <w:rsid w:val="00656910"/>
    <w:rsid w:val="00661E0F"/>
    <w:rsid w:val="0067011C"/>
    <w:rsid w:val="00681874"/>
    <w:rsid w:val="006842D7"/>
    <w:rsid w:val="00690D05"/>
    <w:rsid w:val="006960AA"/>
    <w:rsid w:val="006A6338"/>
    <w:rsid w:val="006A6390"/>
    <w:rsid w:val="006B1BDA"/>
    <w:rsid w:val="006B31AF"/>
    <w:rsid w:val="006B3445"/>
    <w:rsid w:val="006B37CF"/>
    <w:rsid w:val="006B4D28"/>
    <w:rsid w:val="006B620F"/>
    <w:rsid w:val="006B6819"/>
    <w:rsid w:val="006B6FA6"/>
    <w:rsid w:val="006C08B5"/>
    <w:rsid w:val="006C5344"/>
    <w:rsid w:val="006C6535"/>
    <w:rsid w:val="006C66D8"/>
    <w:rsid w:val="006D1E24"/>
    <w:rsid w:val="006D7114"/>
    <w:rsid w:val="006E1417"/>
    <w:rsid w:val="006E17D8"/>
    <w:rsid w:val="006F3EBC"/>
    <w:rsid w:val="006F6A2C"/>
    <w:rsid w:val="00700AAD"/>
    <w:rsid w:val="00707423"/>
    <w:rsid w:val="00710201"/>
    <w:rsid w:val="0071240C"/>
    <w:rsid w:val="00712463"/>
    <w:rsid w:val="0071473D"/>
    <w:rsid w:val="007165DE"/>
    <w:rsid w:val="0071690F"/>
    <w:rsid w:val="0072058C"/>
    <w:rsid w:val="00720902"/>
    <w:rsid w:val="00726779"/>
    <w:rsid w:val="00727DC9"/>
    <w:rsid w:val="007323FF"/>
    <w:rsid w:val="007342B5"/>
    <w:rsid w:val="00734A5B"/>
    <w:rsid w:val="00736E0C"/>
    <w:rsid w:val="00744C63"/>
    <w:rsid w:val="00744E76"/>
    <w:rsid w:val="007471A7"/>
    <w:rsid w:val="00757D40"/>
    <w:rsid w:val="00760E1E"/>
    <w:rsid w:val="0076121E"/>
    <w:rsid w:val="0076432C"/>
    <w:rsid w:val="0076612E"/>
    <w:rsid w:val="00781F0F"/>
    <w:rsid w:val="00783721"/>
    <w:rsid w:val="00784755"/>
    <w:rsid w:val="007863E9"/>
    <w:rsid w:val="0078727C"/>
    <w:rsid w:val="0079049D"/>
    <w:rsid w:val="00791DE8"/>
    <w:rsid w:val="00793DC5"/>
    <w:rsid w:val="007A3162"/>
    <w:rsid w:val="007A322E"/>
    <w:rsid w:val="007B1121"/>
    <w:rsid w:val="007B18D8"/>
    <w:rsid w:val="007B29C3"/>
    <w:rsid w:val="007B4A4D"/>
    <w:rsid w:val="007B6CFC"/>
    <w:rsid w:val="007C095F"/>
    <w:rsid w:val="007C289C"/>
    <w:rsid w:val="007D2BE1"/>
    <w:rsid w:val="007E44F4"/>
    <w:rsid w:val="007E50FE"/>
    <w:rsid w:val="007F1AE7"/>
    <w:rsid w:val="00801FB7"/>
    <w:rsid w:val="008028A4"/>
    <w:rsid w:val="00805B74"/>
    <w:rsid w:val="00813245"/>
    <w:rsid w:val="0082053B"/>
    <w:rsid w:val="0082592B"/>
    <w:rsid w:val="00827599"/>
    <w:rsid w:val="008325FA"/>
    <w:rsid w:val="00833EBC"/>
    <w:rsid w:val="00846EA0"/>
    <w:rsid w:val="00851331"/>
    <w:rsid w:val="00853B1E"/>
    <w:rsid w:val="008560F3"/>
    <w:rsid w:val="00866F67"/>
    <w:rsid w:val="00867DEA"/>
    <w:rsid w:val="00871C38"/>
    <w:rsid w:val="008734D6"/>
    <w:rsid w:val="008768CA"/>
    <w:rsid w:val="00877EF9"/>
    <w:rsid w:val="00880559"/>
    <w:rsid w:val="0088240B"/>
    <w:rsid w:val="00883DF0"/>
    <w:rsid w:val="00886856"/>
    <w:rsid w:val="0089249B"/>
    <w:rsid w:val="008A6A41"/>
    <w:rsid w:val="008B23AB"/>
    <w:rsid w:val="008B5306"/>
    <w:rsid w:val="008B69E2"/>
    <w:rsid w:val="008C203E"/>
    <w:rsid w:val="008C492C"/>
    <w:rsid w:val="008C49FD"/>
    <w:rsid w:val="008D2E4D"/>
    <w:rsid w:val="008F2A37"/>
    <w:rsid w:val="008F2BC7"/>
    <w:rsid w:val="008F6EBE"/>
    <w:rsid w:val="0090271F"/>
    <w:rsid w:val="00902DB9"/>
    <w:rsid w:val="0090466A"/>
    <w:rsid w:val="009249C9"/>
    <w:rsid w:val="00936071"/>
    <w:rsid w:val="00937975"/>
    <w:rsid w:val="0094005E"/>
    <w:rsid w:val="009400A5"/>
    <w:rsid w:val="00940212"/>
    <w:rsid w:val="00942EC2"/>
    <w:rsid w:val="00955EFB"/>
    <w:rsid w:val="00961B32"/>
    <w:rsid w:val="00970DA9"/>
    <w:rsid w:val="00970DB3"/>
    <w:rsid w:val="00974BB0"/>
    <w:rsid w:val="00982E18"/>
    <w:rsid w:val="009A0AF3"/>
    <w:rsid w:val="009A0EA6"/>
    <w:rsid w:val="009B07CD"/>
    <w:rsid w:val="009B14D2"/>
    <w:rsid w:val="009B28D2"/>
    <w:rsid w:val="009B4B54"/>
    <w:rsid w:val="009B54AB"/>
    <w:rsid w:val="009C19E9"/>
    <w:rsid w:val="009C57B9"/>
    <w:rsid w:val="009D74A6"/>
    <w:rsid w:val="009E0592"/>
    <w:rsid w:val="00A05CA5"/>
    <w:rsid w:val="00A10F02"/>
    <w:rsid w:val="00A204CA"/>
    <w:rsid w:val="00A2382E"/>
    <w:rsid w:val="00A30B85"/>
    <w:rsid w:val="00A317CA"/>
    <w:rsid w:val="00A31C6F"/>
    <w:rsid w:val="00A419A0"/>
    <w:rsid w:val="00A447F7"/>
    <w:rsid w:val="00A44AF6"/>
    <w:rsid w:val="00A53724"/>
    <w:rsid w:val="00A566B0"/>
    <w:rsid w:val="00A61052"/>
    <w:rsid w:val="00A67AAD"/>
    <w:rsid w:val="00A80B3D"/>
    <w:rsid w:val="00A82346"/>
    <w:rsid w:val="00A87630"/>
    <w:rsid w:val="00A9645F"/>
    <w:rsid w:val="00A9671C"/>
    <w:rsid w:val="00AA1553"/>
    <w:rsid w:val="00AB3559"/>
    <w:rsid w:val="00AB3D9F"/>
    <w:rsid w:val="00AB4388"/>
    <w:rsid w:val="00AB4CCA"/>
    <w:rsid w:val="00AC03C8"/>
    <w:rsid w:val="00AC2FE2"/>
    <w:rsid w:val="00AC5A3C"/>
    <w:rsid w:val="00AD0605"/>
    <w:rsid w:val="00AD1E00"/>
    <w:rsid w:val="00AD2C16"/>
    <w:rsid w:val="00AE20F7"/>
    <w:rsid w:val="00AE2608"/>
    <w:rsid w:val="00B05962"/>
    <w:rsid w:val="00B069F0"/>
    <w:rsid w:val="00B15449"/>
    <w:rsid w:val="00B20BAA"/>
    <w:rsid w:val="00B20FC3"/>
    <w:rsid w:val="00B22FB7"/>
    <w:rsid w:val="00B23988"/>
    <w:rsid w:val="00B27303"/>
    <w:rsid w:val="00B34198"/>
    <w:rsid w:val="00B43D67"/>
    <w:rsid w:val="00B47FD1"/>
    <w:rsid w:val="00B516BB"/>
    <w:rsid w:val="00B60A6F"/>
    <w:rsid w:val="00B60E68"/>
    <w:rsid w:val="00B72399"/>
    <w:rsid w:val="00B74104"/>
    <w:rsid w:val="00B74385"/>
    <w:rsid w:val="00B84B6B"/>
    <w:rsid w:val="00B915D5"/>
    <w:rsid w:val="00B92E01"/>
    <w:rsid w:val="00BA1C3C"/>
    <w:rsid w:val="00BB51C3"/>
    <w:rsid w:val="00BC3555"/>
    <w:rsid w:val="00BF06BC"/>
    <w:rsid w:val="00C12B51"/>
    <w:rsid w:val="00C15EF5"/>
    <w:rsid w:val="00C24650"/>
    <w:rsid w:val="00C2575B"/>
    <w:rsid w:val="00C33079"/>
    <w:rsid w:val="00C51375"/>
    <w:rsid w:val="00C522CC"/>
    <w:rsid w:val="00C54D3B"/>
    <w:rsid w:val="00C55296"/>
    <w:rsid w:val="00C56CF1"/>
    <w:rsid w:val="00C56E38"/>
    <w:rsid w:val="00C56E6A"/>
    <w:rsid w:val="00C718F2"/>
    <w:rsid w:val="00C8117D"/>
    <w:rsid w:val="00C83A13"/>
    <w:rsid w:val="00C9068C"/>
    <w:rsid w:val="00C92967"/>
    <w:rsid w:val="00C9303A"/>
    <w:rsid w:val="00C94117"/>
    <w:rsid w:val="00C9442C"/>
    <w:rsid w:val="00C972CB"/>
    <w:rsid w:val="00CA3D0C"/>
    <w:rsid w:val="00CA654B"/>
    <w:rsid w:val="00CA7074"/>
    <w:rsid w:val="00CB2618"/>
    <w:rsid w:val="00CB3B5D"/>
    <w:rsid w:val="00CB5130"/>
    <w:rsid w:val="00CC2377"/>
    <w:rsid w:val="00CC2CE0"/>
    <w:rsid w:val="00CC4E78"/>
    <w:rsid w:val="00CD2127"/>
    <w:rsid w:val="00CD4C7B"/>
    <w:rsid w:val="00CD5872"/>
    <w:rsid w:val="00CD7A2F"/>
    <w:rsid w:val="00CE3751"/>
    <w:rsid w:val="00CE43E0"/>
    <w:rsid w:val="00CE77F3"/>
    <w:rsid w:val="00CF60CB"/>
    <w:rsid w:val="00D0752E"/>
    <w:rsid w:val="00D253DF"/>
    <w:rsid w:val="00D270D5"/>
    <w:rsid w:val="00D30489"/>
    <w:rsid w:val="00D33BE3"/>
    <w:rsid w:val="00D3792D"/>
    <w:rsid w:val="00D42EE3"/>
    <w:rsid w:val="00D46687"/>
    <w:rsid w:val="00D51500"/>
    <w:rsid w:val="00D52B59"/>
    <w:rsid w:val="00D552CA"/>
    <w:rsid w:val="00D553D2"/>
    <w:rsid w:val="00D55E47"/>
    <w:rsid w:val="00D62E19"/>
    <w:rsid w:val="00D67CD1"/>
    <w:rsid w:val="00D738D6"/>
    <w:rsid w:val="00D74A85"/>
    <w:rsid w:val="00D7603F"/>
    <w:rsid w:val="00D80795"/>
    <w:rsid w:val="00D83068"/>
    <w:rsid w:val="00D854BE"/>
    <w:rsid w:val="00D87E00"/>
    <w:rsid w:val="00D9134D"/>
    <w:rsid w:val="00D91B55"/>
    <w:rsid w:val="00D93D72"/>
    <w:rsid w:val="00D96D11"/>
    <w:rsid w:val="00DA7A03"/>
    <w:rsid w:val="00DB0DB8"/>
    <w:rsid w:val="00DB1818"/>
    <w:rsid w:val="00DB3521"/>
    <w:rsid w:val="00DB382D"/>
    <w:rsid w:val="00DC309B"/>
    <w:rsid w:val="00DC4DA2"/>
    <w:rsid w:val="00DC535C"/>
    <w:rsid w:val="00DD0FF4"/>
    <w:rsid w:val="00DD3A06"/>
    <w:rsid w:val="00DD3C2C"/>
    <w:rsid w:val="00DD6690"/>
    <w:rsid w:val="00DD6F5A"/>
    <w:rsid w:val="00DE39F9"/>
    <w:rsid w:val="00DF1C0A"/>
    <w:rsid w:val="00DF34F4"/>
    <w:rsid w:val="00E02AFE"/>
    <w:rsid w:val="00E30BA0"/>
    <w:rsid w:val="00E33F32"/>
    <w:rsid w:val="00E34F6F"/>
    <w:rsid w:val="00E40D4A"/>
    <w:rsid w:val="00E45021"/>
    <w:rsid w:val="00E471CF"/>
    <w:rsid w:val="00E508CF"/>
    <w:rsid w:val="00E52066"/>
    <w:rsid w:val="00E52E46"/>
    <w:rsid w:val="00E5668F"/>
    <w:rsid w:val="00E62835"/>
    <w:rsid w:val="00E704A8"/>
    <w:rsid w:val="00E77645"/>
    <w:rsid w:val="00E77ED9"/>
    <w:rsid w:val="00E83697"/>
    <w:rsid w:val="00E84883"/>
    <w:rsid w:val="00E9045F"/>
    <w:rsid w:val="00EB0FDA"/>
    <w:rsid w:val="00EC4A25"/>
    <w:rsid w:val="00ED2DCB"/>
    <w:rsid w:val="00EE38AB"/>
    <w:rsid w:val="00F025A2"/>
    <w:rsid w:val="00F025DF"/>
    <w:rsid w:val="00F07388"/>
    <w:rsid w:val="00F10357"/>
    <w:rsid w:val="00F1112B"/>
    <w:rsid w:val="00F14260"/>
    <w:rsid w:val="00F16BC2"/>
    <w:rsid w:val="00F2026E"/>
    <w:rsid w:val="00F21392"/>
    <w:rsid w:val="00F2210A"/>
    <w:rsid w:val="00F275B7"/>
    <w:rsid w:val="00F35EE2"/>
    <w:rsid w:val="00F37743"/>
    <w:rsid w:val="00F52028"/>
    <w:rsid w:val="00F542AE"/>
    <w:rsid w:val="00F54A3D"/>
    <w:rsid w:val="00F54CB0"/>
    <w:rsid w:val="00F55206"/>
    <w:rsid w:val="00F55A09"/>
    <w:rsid w:val="00F62B8E"/>
    <w:rsid w:val="00F653B8"/>
    <w:rsid w:val="00F71B89"/>
    <w:rsid w:val="00F7353C"/>
    <w:rsid w:val="00F76F8F"/>
    <w:rsid w:val="00F8424F"/>
    <w:rsid w:val="00F874D3"/>
    <w:rsid w:val="00F92E61"/>
    <w:rsid w:val="00F943A0"/>
    <w:rsid w:val="00FA1266"/>
    <w:rsid w:val="00FA7863"/>
    <w:rsid w:val="00FB2F04"/>
    <w:rsid w:val="00FB36FA"/>
    <w:rsid w:val="00FC078E"/>
    <w:rsid w:val="00FC1192"/>
    <w:rsid w:val="00FC44B5"/>
    <w:rsid w:val="00FC5C64"/>
    <w:rsid w:val="00FD07F9"/>
    <w:rsid w:val="00FD114F"/>
    <w:rsid w:val="00FD3EFD"/>
    <w:rsid w:val="00FE0872"/>
    <w:rsid w:val="00FE1869"/>
    <w:rsid w:val="00FE251B"/>
    <w:rsid w:val="00FE5D6E"/>
    <w:rsid w:val="00FF02B4"/>
    <w:rsid w:val="00FF0C03"/>
    <w:rsid w:val="6AC5A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docId w15:val="{366DF510-A0AE-4140-8678-3C9D9695A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FA78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FA7863"/>
    <w:rPr>
      <w:rFonts w:ascii="Arial" w:eastAsiaTheme="minorEastAsia" w:hAnsi="Arial"/>
      <w:lang w:eastAsia="zh-CN"/>
    </w:rPr>
  </w:style>
  <w:style w:type="paragraph" w:customStyle="1" w:styleId="Proposal">
    <w:name w:val="Proposal"/>
    <w:basedOn w:val="Normal"/>
    <w:rsid w:val="00591DDC"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efault">
    <w:name w:val="Default"/>
    <w:rsid w:val="00100D0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E5668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 w:eastAsia="en-GB"/>
    </w:rPr>
  </w:style>
  <w:style w:type="character" w:customStyle="1" w:styleId="st1">
    <w:name w:val="st1"/>
    <w:basedOn w:val="DefaultParagraphFont"/>
    <w:rsid w:val="00DE39F9"/>
  </w:style>
  <w:style w:type="paragraph" w:customStyle="1" w:styleId="Reference">
    <w:name w:val="Reference"/>
    <w:basedOn w:val="Normal"/>
    <w:link w:val="ReferenceChar"/>
    <w:rsid w:val="003A3B07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ReferenceChar">
    <w:name w:val="Reference Char"/>
    <w:link w:val="Reference"/>
    <w:rsid w:val="003A3B07"/>
    <w:rPr>
      <w:rFonts w:ascii="Arial" w:eastAsiaTheme="minorEastAsia" w:hAnsi="Arial"/>
      <w:lang w:eastAsia="zh-CN"/>
    </w:rPr>
  </w:style>
  <w:style w:type="character" w:styleId="CommentReference">
    <w:name w:val="annotation reference"/>
    <w:basedOn w:val="DefaultParagraphFont"/>
    <w:rsid w:val="002703B1"/>
    <w:rPr>
      <w:sz w:val="21"/>
      <w:szCs w:val="21"/>
    </w:rPr>
  </w:style>
  <w:style w:type="paragraph" w:styleId="CommentText">
    <w:name w:val="annotation text"/>
    <w:basedOn w:val="Normal"/>
    <w:link w:val="CommentTextChar"/>
    <w:rsid w:val="002703B1"/>
  </w:style>
  <w:style w:type="character" w:customStyle="1" w:styleId="CommentTextChar">
    <w:name w:val="Comment Text Char"/>
    <w:basedOn w:val="DefaultParagraphFont"/>
    <w:link w:val="CommentText"/>
    <w:rsid w:val="002703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03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03B1"/>
    <w:rPr>
      <w:b/>
      <w:bCs/>
      <w:lang w:eastAsia="en-US"/>
    </w:rPr>
  </w:style>
  <w:style w:type="paragraph" w:styleId="ListParagraph">
    <w:name w:val="List Paragraph"/>
    <w:aliases w:val="- Bullets,列出段落,Lista1,?? ??,?????,????,목록 단락,リスト段落"/>
    <w:basedOn w:val="Normal"/>
    <w:link w:val="ListParagraphChar"/>
    <w:uiPriority w:val="34"/>
    <w:qFormat/>
    <w:rsid w:val="0037134A"/>
    <w:pPr>
      <w:spacing w:after="0"/>
      <w:ind w:left="720"/>
      <w:contextualSpacing/>
    </w:pPr>
    <w:rPr>
      <w:rFonts w:eastAsia="Times New Roman"/>
      <w:sz w:val="24"/>
      <w:szCs w:val="24"/>
      <w:lang w:val="da-DK" w:eastAsia="da-DK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"/>
    <w:basedOn w:val="DefaultParagraphFont"/>
    <w:link w:val="ListParagraph"/>
    <w:uiPriority w:val="34"/>
    <w:qFormat/>
    <w:locked/>
    <w:rsid w:val="00C56CF1"/>
    <w:rPr>
      <w:rFonts w:eastAsia="Times New Roman"/>
      <w:sz w:val="24"/>
      <w:szCs w:val="24"/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06163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61637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locked/>
    <w:rsid w:val="00061637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061637"/>
    <w:pPr>
      <w:spacing w:before="180" w:after="0"/>
      <w:ind w:left="1259" w:hanging="1259"/>
    </w:pPr>
    <w:rPr>
      <w:rFonts w:ascii="Arial" w:eastAsia="MS Mincho" w:hAnsi="Arial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5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197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0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4185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4115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8228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747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7170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5AIRPNAIUNRU-859666464-2336</_dlc_DocId>
    <_dlc_DocIdUrl xmlns="71c5aaf6-e6ce-465b-b873-5148d2a4c105">
      <Url>https://nokia.sharepoint.com/sites/c5g/e2earch/_layouts/15/DocIdRedir.aspx?ID=5AIRPNAIUNRU-859666464-2336</Url>
      <Description>5AIRPNAIUNRU-859666464-2336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6873D7C-CEDF-4D41-B470-0299D3FA1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297</TotalTime>
  <Pages>3</Pages>
  <Words>1457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9749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Meng, Yan B. (NSB - CN/Shanghai)</dc:creator>
  <cp:lastModifiedBy>Nokia-GWO3</cp:lastModifiedBy>
  <cp:revision>21</cp:revision>
  <dcterms:created xsi:type="dcterms:W3CDTF">2018-06-18T10:58:00Z</dcterms:created>
  <dcterms:modified xsi:type="dcterms:W3CDTF">2018-06-21T15:07:00Z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c6864286-24ee-4f05-ae61-c6cabf70785c</vt:lpwstr>
  </property>
</Properties>
</file>